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2635C" w14:textId="03F23B8F" w:rsidR="007B4D1D" w:rsidRPr="00011338" w:rsidRDefault="007B4D1D" w:rsidP="006B554D">
      <w:pPr>
        <w:widowControl w:val="0"/>
        <w:jc w:val="center"/>
        <w:rPr>
          <w:b/>
          <w:sz w:val="24"/>
        </w:rPr>
      </w:pPr>
      <w:bookmarkStart w:id="0" w:name="_GoBack"/>
      <w:bookmarkEnd w:id="0"/>
      <w:r w:rsidRPr="00011338">
        <w:rPr>
          <w:b/>
          <w:sz w:val="24"/>
        </w:rPr>
        <w:t>OF EDUCATION AND TRAINING</w:t>
      </w:r>
    </w:p>
    <w:p w14:paraId="1D2AA521" w14:textId="77777777" w:rsidR="007B4D1D" w:rsidRPr="00011338" w:rsidRDefault="007B4D1D" w:rsidP="006B554D">
      <w:pPr>
        <w:widowControl w:val="0"/>
        <w:jc w:val="center"/>
        <w:rPr>
          <w:b/>
          <w:sz w:val="24"/>
        </w:rPr>
      </w:pPr>
      <w:r w:rsidRPr="00011338">
        <w:rPr>
          <w:b/>
          <w:sz w:val="24"/>
        </w:rPr>
        <w:t>THUONGMAI UNIVERSITY</w:t>
      </w:r>
    </w:p>
    <w:p w14:paraId="5BFDCB9C" w14:textId="77777777" w:rsidR="0006597C" w:rsidRPr="00011338" w:rsidRDefault="0006597C" w:rsidP="006B554D">
      <w:pPr>
        <w:widowControl w:val="0"/>
        <w:spacing w:line="312" w:lineRule="auto"/>
        <w:jc w:val="center"/>
        <w:rPr>
          <w:b/>
          <w:sz w:val="24"/>
        </w:rPr>
      </w:pPr>
      <w:r w:rsidRPr="00011338">
        <w:rPr>
          <w:b/>
          <w:sz w:val="24"/>
        </w:rPr>
        <w:t>----------------------------------------</w:t>
      </w:r>
    </w:p>
    <w:p w14:paraId="3279105D" w14:textId="77777777" w:rsidR="0006597C" w:rsidRPr="00011338" w:rsidRDefault="0006597C" w:rsidP="006B554D">
      <w:pPr>
        <w:widowControl w:val="0"/>
        <w:rPr>
          <w:b/>
          <w:sz w:val="24"/>
        </w:rPr>
      </w:pPr>
    </w:p>
    <w:p w14:paraId="6975A0D1" w14:textId="77777777" w:rsidR="0006597C" w:rsidRPr="00011338" w:rsidRDefault="0006597C" w:rsidP="006B554D">
      <w:pPr>
        <w:widowControl w:val="0"/>
        <w:rPr>
          <w:b/>
          <w:sz w:val="24"/>
        </w:rPr>
      </w:pPr>
    </w:p>
    <w:p w14:paraId="0E5D0101" w14:textId="77777777" w:rsidR="0006597C" w:rsidRPr="00011338" w:rsidRDefault="0006597C" w:rsidP="006B554D">
      <w:pPr>
        <w:widowControl w:val="0"/>
        <w:jc w:val="center"/>
        <w:rPr>
          <w:b/>
          <w:sz w:val="24"/>
        </w:rPr>
      </w:pPr>
    </w:p>
    <w:p w14:paraId="20FC4F31" w14:textId="628DF770" w:rsidR="0006597C" w:rsidRPr="00011338" w:rsidRDefault="000C3BE7" w:rsidP="006B554D">
      <w:pPr>
        <w:widowControl w:val="0"/>
        <w:spacing w:line="360" w:lineRule="auto"/>
        <w:jc w:val="center"/>
        <w:rPr>
          <w:b/>
          <w:sz w:val="24"/>
          <w:lang w:val="vi-VN"/>
        </w:rPr>
      </w:pPr>
      <w:r w:rsidRPr="000C3BE7">
        <w:rPr>
          <w:b/>
          <w:sz w:val="24"/>
        </w:rPr>
        <w:t>HO</w:t>
      </w:r>
      <w:r>
        <w:rPr>
          <w:b/>
          <w:sz w:val="24"/>
        </w:rPr>
        <w:t>A</w:t>
      </w:r>
      <w:r w:rsidRPr="000C3BE7">
        <w:rPr>
          <w:b/>
          <w:sz w:val="24"/>
        </w:rPr>
        <w:t>NG TI</w:t>
      </w:r>
      <w:r>
        <w:rPr>
          <w:b/>
          <w:sz w:val="24"/>
        </w:rPr>
        <w:t>E</w:t>
      </w:r>
      <w:r w:rsidRPr="000C3BE7">
        <w:rPr>
          <w:b/>
          <w:sz w:val="24"/>
        </w:rPr>
        <w:t>N LINH</w:t>
      </w:r>
    </w:p>
    <w:p w14:paraId="0A76DDC0" w14:textId="77777777" w:rsidR="0006597C" w:rsidRPr="00011338" w:rsidRDefault="0006597C" w:rsidP="006B554D">
      <w:pPr>
        <w:widowControl w:val="0"/>
        <w:spacing w:line="360" w:lineRule="auto"/>
        <w:rPr>
          <w:b/>
          <w:sz w:val="24"/>
        </w:rPr>
      </w:pPr>
    </w:p>
    <w:p w14:paraId="0D25C527" w14:textId="77777777" w:rsidR="0006597C" w:rsidRPr="00011338" w:rsidRDefault="0006597C" w:rsidP="006B554D">
      <w:pPr>
        <w:widowControl w:val="0"/>
        <w:spacing w:line="360" w:lineRule="auto"/>
        <w:jc w:val="center"/>
        <w:rPr>
          <w:b/>
          <w:sz w:val="24"/>
        </w:rPr>
      </w:pPr>
    </w:p>
    <w:p w14:paraId="7B1C7454" w14:textId="3C72790C" w:rsidR="00BE516A" w:rsidRPr="00011338" w:rsidRDefault="000C3BE7" w:rsidP="006B554D">
      <w:pPr>
        <w:widowControl w:val="0"/>
        <w:spacing w:line="360" w:lineRule="auto"/>
        <w:jc w:val="center"/>
        <w:rPr>
          <w:b/>
          <w:i/>
          <w:sz w:val="24"/>
        </w:rPr>
      </w:pPr>
      <w:r w:rsidRPr="000C3BE7">
        <w:rPr>
          <w:b/>
          <w:sz w:val="24"/>
        </w:rPr>
        <w:t>STUDY ON THE GREEN INVESTMENT BEHAVIOR OF FOREIGN DIRECT INVESTMENT (FDI) ENTERPRISES IN HANOI CAPITAL</w:t>
      </w:r>
    </w:p>
    <w:p w14:paraId="2E75D582" w14:textId="77777777" w:rsidR="00AA7A7E" w:rsidRPr="00011338" w:rsidRDefault="00AA7A7E" w:rsidP="006B554D">
      <w:pPr>
        <w:widowControl w:val="0"/>
        <w:spacing w:line="360" w:lineRule="auto"/>
        <w:jc w:val="center"/>
        <w:rPr>
          <w:b/>
          <w:i/>
          <w:sz w:val="24"/>
        </w:rPr>
      </w:pPr>
    </w:p>
    <w:p w14:paraId="24687CA8" w14:textId="6086D31E" w:rsidR="00BE516A" w:rsidRPr="00011338" w:rsidRDefault="00BE516A" w:rsidP="00567893">
      <w:pPr>
        <w:widowControl w:val="0"/>
        <w:tabs>
          <w:tab w:val="left" w:pos="2268"/>
          <w:tab w:val="left" w:pos="2880"/>
        </w:tabs>
        <w:spacing w:line="360" w:lineRule="auto"/>
        <w:ind w:left="1440" w:firstLine="0"/>
        <w:rPr>
          <w:b/>
          <w:sz w:val="24"/>
        </w:rPr>
      </w:pPr>
      <w:r w:rsidRPr="00011338">
        <w:rPr>
          <w:b/>
          <w:sz w:val="24"/>
        </w:rPr>
        <w:t>Major</w:t>
      </w:r>
      <w:r w:rsidR="00567893">
        <w:rPr>
          <w:b/>
          <w:sz w:val="24"/>
        </w:rPr>
        <w:tab/>
      </w:r>
      <w:r w:rsidRPr="00011338">
        <w:rPr>
          <w:b/>
          <w:sz w:val="24"/>
        </w:rPr>
        <w:t xml:space="preserve">: </w:t>
      </w:r>
      <w:r w:rsidR="000C3BE7" w:rsidRPr="000C3BE7">
        <w:rPr>
          <w:b/>
          <w:sz w:val="24"/>
        </w:rPr>
        <w:t>Business Administration</w:t>
      </w:r>
    </w:p>
    <w:p w14:paraId="57831112" w14:textId="2F5E013D" w:rsidR="00BE516A" w:rsidRPr="00011338" w:rsidRDefault="00BE516A" w:rsidP="00567893">
      <w:pPr>
        <w:widowControl w:val="0"/>
        <w:tabs>
          <w:tab w:val="left" w:pos="2268"/>
          <w:tab w:val="left" w:pos="2880"/>
        </w:tabs>
        <w:spacing w:line="360" w:lineRule="auto"/>
        <w:ind w:left="1440" w:firstLine="0"/>
        <w:rPr>
          <w:b/>
          <w:sz w:val="24"/>
        </w:rPr>
      </w:pPr>
      <w:r w:rsidRPr="00011338">
        <w:rPr>
          <w:b/>
          <w:sz w:val="24"/>
        </w:rPr>
        <w:t>Cod</w:t>
      </w:r>
      <w:r w:rsidR="00633C57" w:rsidRPr="00011338">
        <w:rPr>
          <w:b/>
          <w:sz w:val="24"/>
        </w:rPr>
        <w:t>e</w:t>
      </w:r>
      <w:r w:rsidR="00567893">
        <w:rPr>
          <w:b/>
          <w:sz w:val="24"/>
        </w:rPr>
        <w:tab/>
      </w:r>
      <w:r w:rsidRPr="00011338">
        <w:rPr>
          <w:b/>
          <w:sz w:val="24"/>
        </w:rPr>
        <w:t>: 9.34.0</w:t>
      </w:r>
      <w:r w:rsidR="000C3BE7">
        <w:rPr>
          <w:b/>
          <w:sz w:val="24"/>
        </w:rPr>
        <w:t>1</w:t>
      </w:r>
      <w:r w:rsidRPr="00011338">
        <w:rPr>
          <w:b/>
          <w:sz w:val="24"/>
        </w:rPr>
        <w:t>.01</w:t>
      </w:r>
    </w:p>
    <w:p w14:paraId="50FBDD05" w14:textId="77777777" w:rsidR="0006597C" w:rsidRPr="00011338" w:rsidRDefault="0006597C" w:rsidP="006B554D">
      <w:pPr>
        <w:widowControl w:val="0"/>
        <w:rPr>
          <w:b/>
          <w:sz w:val="24"/>
        </w:rPr>
      </w:pPr>
    </w:p>
    <w:p w14:paraId="695AD89D" w14:textId="77777777" w:rsidR="0006597C" w:rsidRPr="00011338" w:rsidRDefault="0006597C" w:rsidP="006B554D">
      <w:pPr>
        <w:widowControl w:val="0"/>
        <w:jc w:val="center"/>
        <w:rPr>
          <w:b/>
          <w:sz w:val="24"/>
        </w:rPr>
      </w:pPr>
    </w:p>
    <w:p w14:paraId="5D34EA08" w14:textId="77777777" w:rsidR="0006597C" w:rsidRPr="00011338" w:rsidRDefault="0006597C" w:rsidP="006B554D">
      <w:pPr>
        <w:widowControl w:val="0"/>
        <w:jc w:val="center"/>
        <w:rPr>
          <w:b/>
          <w:sz w:val="24"/>
        </w:rPr>
      </w:pPr>
    </w:p>
    <w:p w14:paraId="2676C643" w14:textId="3C821722" w:rsidR="00A24358" w:rsidRPr="00617F1B" w:rsidRDefault="00A24358" w:rsidP="006B554D">
      <w:pPr>
        <w:widowControl w:val="0"/>
        <w:spacing w:line="360" w:lineRule="auto"/>
        <w:jc w:val="center"/>
        <w:rPr>
          <w:b/>
          <w:caps/>
          <w:sz w:val="28"/>
          <w:szCs w:val="28"/>
        </w:rPr>
      </w:pPr>
      <w:r w:rsidRPr="00011338">
        <w:rPr>
          <w:b/>
          <w:caps/>
          <w:sz w:val="24"/>
        </w:rPr>
        <w:t xml:space="preserve">SUMMARY OF ECONOMIC DOCTORAL </w:t>
      </w:r>
      <w:r w:rsidR="00A34003" w:rsidRPr="00617F1B">
        <w:rPr>
          <w:b/>
          <w:caps/>
          <w:sz w:val="24"/>
          <w:szCs w:val="28"/>
        </w:rPr>
        <w:t>dissertation</w:t>
      </w:r>
    </w:p>
    <w:p w14:paraId="759C2512" w14:textId="77777777" w:rsidR="0006597C" w:rsidRPr="00011338" w:rsidRDefault="0006597C" w:rsidP="006B554D">
      <w:pPr>
        <w:widowControl w:val="0"/>
        <w:rPr>
          <w:sz w:val="24"/>
        </w:rPr>
      </w:pPr>
    </w:p>
    <w:p w14:paraId="024715F5" w14:textId="77777777" w:rsidR="0006597C" w:rsidRPr="00011338" w:rsidRDefault="0006597C" w:rsidP="006B554D">
      <w:pPr>
        <w:widowControl w:val="0"/>
        <w:rPr>
          <w:sz w:val="24"/>
        </w:rPr>
      </w:pPr>
    </w:p>
    <w:p w14:paraId="2F193276" w14:textId="74B19ED9" w:rsidR="00633C57" w:rsidRPr="00011338" w:rsidRDefault="00633C57" w:rsidP="006B554D">
      <w:pPr>
        <w:widowControl w:val="0"/>
        <w:rPr>
          <w:sz w:val="24"/>
        </w:rPr>
      </w:pPr>
    </w:p>
    <w:p w14:paraId="5D27DDB2" w14:textId="77777777" w:rsidR="00633C57" w:rsidRPr="00011338" w:rsidRDefault="00633C57" w:rsidP="006B554D">
      <w:pPr>
        <w:widowControl w:val="0"/>
        <w:jc w:val="center"/>
        <w:rPr>
          <w:b/>
          <w:sz w:val="24"/>
        </w:rPr>
      </w:pPr>
    </w:p>
    <w:p w14:paraId="4C2151F2" w14:textId="1793C98C" w:rsidR="0006597C" w:rsidRPr="00011338" w:rsidRDefault="0006597C" w:rsidP="006B554D">
      <w:pPr>
        <w:widowControl w:val="0"/>
        <w:jc w:val="center"/>
        <w:rPr>
          <w:b/>
          <w:sz w:val="24"/>
        </w:rPr>
      </w:pPr>
    </w:p>
    <w:p w14:paraId="1BA7D14F" w14:textId="10158830" w:rsidR="00AA7A7E" w:rsidRPr="00011338" w:rsidRDefault="00AA7A7E" w:rsidP="006B554D">
      <w:pPr>
        <w:widowControl w:val="0"/>
        <w:jc w:val="center"/>
        <w:rPr>
          <w:b/>
          <w:sz w:val="24"/>
        </w:rPr>
      </w:pPr>
    </w:p>
    <w:p w14:paraId="3551904C" w14:textId="74CEF6AA" w:rsidR="0006597C" w:rsidRPr="00011338" w:rsidRDefault="0006597C" w:rsidP="006B554D">
      <w:pPr>
        <w:widowControl w:val="0"/>
        <w:jc w:val="center"/>
        <w:rPr>
          <w:sz w:val="24"/>
        </w:rPr>
      </w:pPr>
      <w:r w:rsidRPr="00011338">
        <w:rPr>
          <w:b/>
          <w:sz w:val="24"/>
          <w:lang w:val="vi-VN"/>
        </w:rPr>
        <w:t>H</w:t>
      </w:r>
      <w:r w:rsidR="00633C57" w:rsidRPr="00011338">
        <w:rPr>
          <w:b/>
          <w:sz w:val="24"/>
        </w:rPr>
        <w:t>anoi</w:t>
      </w:r>
      <w:r w:rsidRPr="00011338">
        <w:rPr>
          <w:b/>
          <w:sz w:val="24"/>
          <w:lang w:val="vi-VN"/>
        </w:rPr>
        <w:t xml:space="preserve"> - 20</w:t>
      </w:r>
      <w:r w:rsidRPr="00011338">
        <w:rPr>
          <w:b/>
          <w:sz w:val="24"/>
        </w:rPr>
        <w:t>2</w:t>
      </w:r>
      <w:r w:rsidR="000C3BE7">
        <w:rPr>
          <w:b/>
          <w:sz w:val="24"/>
        </w:rPr>
        <w:t>5</w:t>
      </w:r>
      <w:r w:rsidRPr="00011338">
        <w:rPr>
          <w:b/>
          <w:sz w:val="24"/>
          <w:lang w:val="vi-VN"/>
        </w:rPr>
        <w:br w:type="page"/>
      </w:r>
    </w:p>
    <w:p w14:paraId="4E75FB46" w14:textId="032B2265" w:rsidR="00633C57" w:rsidRPr="00011338" w:rsidRDefault="00633C57" w:rsidP="006B554D">
      <w:pPr>
        <w:widowControl w:val="0"/>
        <w:spacing w:before="60" w:line="312" w:lineRule="auto"/>
        <w:ind w:firstLine="0"/>
        <w:jc w:val="center"/>
        <w:rPr>
          <w:b/>
          <w:bCs/>
          <w:sz w:val="24"/>
        </w:rPr>
      </w:pPr>
      <w:r w:rsidRPr="00011338">
        <w:rPr>
          <w:b/>
          <w:sz w:val="24"/>
        </w:rPr>
        <w:lastRenderedPageBreak/>
        <w:t xml:space="preserve">The </w:t>
      </w:r>
      <w:r w:rsidR="00A34003" w:rsidRPr="00A34003">
        <w:rPr>
          <w:b/>
        </w:rPr>
        <w:t>dissertation</w:t>
      </w:r>
      <w:r w:rsidR="00A34003">
        <w:rPr>
          <w:b/>
        </w:rPr>
        <w:t xml:space="preserve"> </w:t>
      </w:r>
      <w:r w:rsidRPr="00011338">
        <w:rPr>
          <w:b/>
          <w:sz w:val="24"/>
        </w:rPr>
        <w:t>was completed at the Thuongmai University</w:t>
      </w:r>
    </w:p>
    <w:p w14:paraId="724DE85F" w14:textId="77777777" w:rsidR="0006597C" w:rsidRPr="00011338" w:rsidRDefault="0006597C" w:rsidP="006B554D">
      <w:pPr>
        <w:widowControl w:val="0"/>
        <w:spacing w:line="360" w:lineRule="auto"/>
        <w:rPr>
          <w:b/>
          <w:bCs/>
          <w:sz w:val="24"/>
        </w:rPr>
      </w:pPr>
      <w:r w:rsidRPr="00011338">
        <w:rPr>
          <w:b/>
          <w:bCs/>
          <w:sz w:val="24"/>
        </w:rPr>
        <w:t xml:space="preserve"> </w:t>
      </w:r>
    </w:p>
    <w:p w14:paraId="7F2DAA16" w14:textId="4A771676" w:rsidR="00791177" w:rsidRPr="00011338" w:rsidRDefault="00791177" w:rsidP="006B554D">
      <w:pPr>
        <w:widowControl w:val="0"/>
        <w:spacing w:line="360" w:lineRule="auto"/>
        <w:ind w:firstLine="0"/>
        <w:jc w:val="center"/>
        <w:rPr>
          <w:b/>
          <w:bCs/>
          <w:sz w:val="24"/>
        </w:rPr>
      </w:pPr>
      <w:r w:rsidRPr="00011338">
        <w:rPr>
          <w:b/>
          <w:bCs/>
          <w:sz w:val="24"/>
        </w:rPr>
        <w:t>Full name of Instructors:</w:t>
      </w:r>
    </w:p>
    <w:p w14:paraId="15E317F0" w14:textId="157D3B09" w:rsidR="00791177" w:rsidRPr="00011338" w:rsidRDefault="00791177" w:rsidP="006B554D">
      <w:pPr>
        <w:pStyle w:val="ListParagraph"/>
        <w:widowControl w:val="0"/>
        <w:numPr>
          <w:ilvl w:val="0"/>
          <w:numId w:val="3"/>
        </w:numPr>
        <w:spacing w:line="360" w:lineRule="auto"/>
        <w:ind w:left="851" w:firstLine="0"/>
        <w:rPr>
          <w:rFonts w:ascii="Times New Roman" w:hAnsi="Times New Roman" w:cs="Times New Roman"/>
          <w:b/>
          <w:sz w:val="24"/>
          <w:szCs w:val="24"/>
        </w:rPr>
      </w:pPr>
      <w:r w:rsidRPr="00011338">
        <w:rPr>
          <w:rFonts w:ascii="Times New Roman" w:hAnsi="Times New Roman" w:cs="Times New Roman"/>
          <w:b/>
          <w:sz w:val="24"/>
          <w:szCs w:val="24"/>
        </w:rPr>
        <w:t>Assoc Prof</w:t>
      </w:r>
      <w:r w:rsidR="009768B6" w:rsidRPr="00011338">
        <w:rPr>
          <w:rFonts w:ascii="Times New Roman" w:hAnsi="Times New Roman" w:cs="Times New Roman"/>
          <w:b/>
          <w:sz w:val="24"/>
          <w:szCs w:val="24"/>
        </w:rPr>
        <w:t>,</w:t>
      </w:r>
      <w:r w:rsidRPr="00011338">
        <w:rPr>
          <w:rFonts w:ascii="Times New Roman" w:hAnsi="Times New Roman" w:cs="Times New Roman"/>
          <w:b/>
          <w:sz w:val="24"/>
          <w:szCs w:val="24"/>
        </w:rPr>
        <w:t xml:space="preserve"> PhD. </w:t>
      </w:r>
      <w:r w:rsidR="000C3BE7" w:rsidRPr="000C3BE7">
        <w:rPr>
          <w:rFonts w:ascii="Times New Roman" w:hAnsi="Times New Roman" w:cs="Times New Roman"/>
          <w:b/>
          <w:sz w:val="24"/>
          <w:szCs w:val="24"/>
        </w:rPr>
        <w:t>B</w:t>
      </w:r>
      <w:r w:rsidR="000C3BE7">
        <w:rPr>
          <w:rFonts w:ascii="Times New Roman" w:hAnsi="Times New Roman" w:cs="Times New Roman"/>
          <w:b/>
          <w:sz w:val="24"/>
          <w:szCs w:val="24"/>
        </w:rPr>
        <w:t>u</w:t>
      </w:r>
      <w:r w:rsidR="000C3BE7" w:rsidRPr="000C3BE7">
        <w:rPr>
          <w:rFonts w:ascii="Times New Roman" w:hAnsi="Times New Roman" w:cs="Times New Roman"/>
          <w:b/>
          <w:sz w:val="24"/>
          <w:szCs w:val="24"/>
        </w:rPr>
        <w:t>i H</w:t>
      </w:r>
      <w:r w:rsidR="000C3BE7">
        <w:rPr>
          <w:rFonts w:ascii="Times New Roman" w:hAnsi="Times New Roman" w:cs="Times New Roman"/>
          <w:b/>
          <w:sz w:val="24"/>
          <w:szCs w:val="24"/>
        </w:rPr>
        <w:t>u</w:t>
      </w:r>
      <w:r w:rsidR="000C3BE7" w:rsidRPr="000C3BE7">
        <w:rPr>
          <w:rFonts w:ascii="Times New Roman" w:hAnsi="Times New Roman" w:cs="Times New Roman"/>
          <w:b/>
          <w:sz w:val="24"/>
          <w:szCs w:val="24"/>
        </w:rPr>
        <w:t xml:space="preserve">u </w:t>
      </w:r>
      <w:r w:rsidR="000C3BE7">
        <w:rPr>
          <w:rFonts w:ascii="Times New Roman" w:hAnsi="Times New Roman" w:cs="Times New Roman"/>
          <w:b/>
          <w:sz w:val="24"/>
          <w:szCs w:val="24"/>
        </w:rPr>
        <w:t>Du</w:t>
      </w:r>
      <w:r w:rsidR="000C3BE7" w:rsidRPr="000C3BE7">
        <w:rPr>
          <w:rFonts w:ascii="Times New Roman" w:hAnsi="Times New Roman" w:cs="Times New Roman"/>
          <w:b/>
          <w:sz w:val="24"/>
          <w:szCs w:val="24"/>
        </w:rPr>
        <w:t>c</w:t>
      </w:r>
    </w:p>
    <w:p w14:paraId="441A1519" w14:textId="2E48A400" w:rsidR="00791177" w:rsidRPr="00011338" w:rsidRDefault="000C3BE7" w:rsidP="006B554D">
      <w:pPr>
        <w:pStyle w:val="ListParagraph"/>
        <w:widowControl w:val="0"/>
        <w:numPr>
          <w:ilvl w:val="0"/>
          <w:numId w:val="3"/>
        </w:numPr>
        <w:spacing w:before="60" w:line="360" w:lineRule="auto"/>
        <w:ind w:left="851" w:firstLine="0"/>
        <w:rPr>
          <w:rFonts w:ascii="Times New Roman" w:hAnsi="Times New Roman" w:cs="Times New Roman"/>
          <w:b/>
          <w:bCs/>
          <w:sz w:val="24"/>
          <w:szCs w:val="24"/>
        </w:rPr>
      </w:pPr>
      <w:r w:rsidRPr="00011338">
        <w:rPr>
          <w:rFonts w:ascii="Times New Roman" w:hAnsi="Times New Roman" w:cs="Times New Roman"/>
          <w:b/>
          <w:sz w:val="24"/>
          <w:szCs w:val="24"/>
        </w:rPr>
        <w:t xml:space="preserve">Assoc Prof, PhD. </w:t>
      </w:r>
      <w:r>
        <w:rPr>
          <w:rFonts w:ascii="Times New Roman" w:hAnsi="Times New Roman" w:cs="Times New Roman"/>
          <w:b/>
          <w:sz w:val="24"/>
          <w:szCs w:val="24"/>
        </w:rPr>
        <w:t>Do Thi Binh</w:t>
      </w:r>
    </w:p>
    <w:p w14:paraId="089C2749" w14:textId="77777777" w:rsidR="00366022" w:rsidRPr="00011338" w:rsidRDefault="00366022" w:rsidP="006B554D">
      <w:pPr>
        <w:widowControl w:val="0"/>
        <w:spacing w:line="480" w:lineRule="auto"/>
        <w:ind w:left="851"/>
        <w:rPr>
          <w:b/>
          <w:bCs/>
          <w:sz w:val="24"/>
        </w:rPr>
      </w:pPr>
    </w:p>
    <w:p w14:paraId="655EF41D" w14:textId="15689B0A" w:rsidR="00791177" w:rsidRPr="00011338" w:rsidRDefault="00791177" w:rsidP="006B554D">
      <w:pPr>
        <w:widowControl w:val="0"/>
        <w:spacing w:before="60" w:line="360" w:lineRule="auto"/>
        <w:ind w:left="851" w:firstLine="0"/>
        <w:rPr>
          <w:b/>
          <w:bCs/>
          <w:sz w:val="24"/>
        </w:rPr>
      </w:pPr>
      <w:r w:rsidRPr="00011338">
        <w:rPr>
          <w:b/>
          <w:bCs/>
          <w:sz w:val="24"/>
        </w:rPr>
        <w:t xml:space="preserve">Reviewer 1: </w:t>
      </w:r>
      <w:r w:rsidR="00FD4A23">
        <w:rPr>
          <w:b/>
          <w:bCs/>
          <w:sz w:val="24"/>
        </w:rPr>
        <w:t>TS. Lương Minh Huân</w:t>
      </w:r>
    </w:p>
    <w:p w14:paraId="06C7D913" w14:textId="7E591792" w:rsidR="00791177" w:rsidRPr="00011338" w:rsidRDefault="00791177" w:rsidP="006B554D">
      <w:pPr>
        <w:widowControl w:val="0"/>
        <w:spacing w:before="60" w:line="360" w:lineRule="auto"/>
        <w:ind w:left="851" w:firstLine="0"/>
        <w:rPr>
          <w:b/>
          <w:bCs/>
          <w:sz w:val="24"/>
        </w:rPr>
      </w:pPr>
      <w:r w:rsidRPr="00011338">
        <w:rPr>
          <w:b/>
          <w:bCs/>
          <w:sz w:val="24"/>
        </w:rPr>
        <w:t xml:space="preserve">Reviewer 2: </w:t>
      </w:r>
      <w:r w:rsidR="00FD4A23">
        <w:rPr>
          <w:b/>
          <w:bCs/>
          <w:sz w:val="24"/>
        </w:rPr>
        <w:t>PGS,TS. Trần Kiều Trang</w:t>
      </w:r>
    </w:p>
    <w:p w14:paraId="2F641EE8" w14:textId="480C8D31" w:rsidR="0006597C" w:rsidRPr="00011338" w:rsidRDefault="00791177" w:rsidP="006B554D">
      <w:pPr>
        <w:widowControl w:val="0"/>
        <w:spacing w:line="360" w:lineRule="auto"/>
        <w:ind w:left="851" w:firstLine="0"/>
        <w:rPr>
          <w:b/>
          <w:bCs/>
          <w:sz w:val="24"/>
        </w:rPr>
      </w:pPr>
      <w:r w:rsidRPr="00011338">
        <w:rPr>
          <w:b/>
          <w:bCs/>
          <w:sz w:val="24"/>
        </w:rPr>
        <w:t xml:space="preserve">Reviewer 3: </w:t>
      </w:r>
      <w:r w:rsidR="00FD4A23">
        <w:rPr>
          <w:b/>
          <w:bCs/>
          <w:sz w:val="24"/>
        </w:rPr>
        <w:t>GS,TS. Nguyễn Bách Khoa</w:t>
      </w:r>
    </w:p>
    <w:p w14:paraId="2F02810D" w14:textId="41C95060" w:rsidR="0006597C" w:rsidRPr="00011338" w:rsidRDefault="0006597C" w:rsidP="006B554D">
      <w:pPr>
        <w:widowControl w:val="0"/>
        <w:spacing w:line="360" w:lineRule="auto"/>
        <w:rPr>
          <w:b/>
          <w:bCs/>
          <w:sz w:val="24"/>
        </w:rPr>
      </w:pPr>
    </w:p>
    <w:p w14:paraId="631D4E5C" w14:textId="77777777" w:rsidR="00640E50" w:rsidRPr="00011338" w:rsidRDefault="00640E50" w:rsidP="006B554D">
      <w:pPr>
        <w:widowControl w:val="0"/>
        <w:spacing w:line="360" w:lineRule="auto"/>
        <w:rPr>
          <w:b/>
          <w:bCs/>
          <w:sz w:val="24"/>
        </w:rPr>
      </w:pPr>
    </w:p>
    <w:p w14:paraId="3F96BB4E" w14:textId="073FF34D" w:rsidR="00791177" w:rsidRPr="00011338" w:rsidRDefault="00791177" w:rsidP="006B554D">
      <w:pPr>
        <w:widowControl w:val="0"/>
        <w:spacing w:before="60" w:line="312" w:lineRule="auto"/>
        <w:jc w:val="center"/>
        <w:rPr>
          <w:b/>
          <w:bCs/>
          <w:sz w:val="24"/>
        </w:rPr>
      </w:pPr>
      <w:r w:rsidRPr="00011338">
        <w:rPr>
          <w:b/>
          <w:bCs/>
          <w:sz w:val="24"/>
        </w:rPr>
        <w:t xml:space="preserve">The </w:t>
      </w:r>
      <w:r w:rsidR="00A34003" w:rsidRPr="00A34003">
        <w:rPr>
          <w:b/>
        </w:rPr>
        <w:t>dissertation</w:t>
      </w:r>
      <w:r w:rsidR="00A34003">
        <w:rPr>
          <w:b/>
        </w:rPr>
        <w:t xml:space="preserve"> </w:t>
      </w:r>
      <w:r w:rsidRPr="00011338">
        <w:rPr>
          <w:b/>
          <w:bCs/>
          <w:sz w:val="24"/>
        </w:rPr>
        <w:t xml:space="preserve">will be defended </w:t>
      </w:r>
      <w:r w:rsidR="00825495" w:rsidRPr="00011338">
        <w:rPr>
          <w:b/>
          <w:bCs/>
          <w:sz w:val="24"/>
        </w:rPr>
        <w:t xml:space="preserve">before </w:t>
      </w:r>
      <w:r w:rsidRPr="00011338">
        <w:rPr>
          <w:b/>
          <w:bCs/>
          <w:sz w:val="24"/>
        </w:rPr>
        <w:t xml:space="preserve">the </w:t>
      </w:r>
      <w:r w:rsidR="00AC2CB1" w:rsidRPr="00011338">
        <w:rPr>
          <w:b/>
          <w:bCs/>
          <w:sz w:val="24"/>
        </w:rPr>
        <w:t>University</w:t>
      </w:r>
      <w:r w:rsidRPr="00011338">
        <w:rPr>
          <w:b/>
          <w:bCs/>
          <w:sz w:val="24"/>
        </w:rPr>
        <w:t>-level Thesis Evaluation Council at the Thuongmai University</w:t>
      </w:r>
    </w:p>
    <w:p w14:paraId="149C6313" w14:textId="77777777" w:rsidR="00791177" w:rsidRPr="00011338" w:rsidRDefault="00791177" w:rsidP="006B554D">
      <w:pPr>
        <w:widowControl w:val="0"/>
        <w:spacing w:before="60" w:line="312" w:lineRule="auto"/>
        <w:jc w:val="center"/>
        <w:rPr>
          <w:b/>
          <w:bCs/>
          <w:sz w:val="24"/>
        </w:rPr>
      </w:pPr>
    </w:p>
    <w:p w14:paraId="4E918B2C" w14:textId="3B657816" w:rsidR="00791177" w:rsidRPr="00011338" w:rsidRDefault="00825495" w:rsidP="006B554D">
      <w:pPr>
        <w:widowControl w:val="0"/>
        <w:spacing w:before="60" w:line="312" w:lineRule="auto"/>
        <w:jc w:val="center"/>
        <w:rPr>
          <w:bCs/>
          <w:sz w:val="24"/>
        </w:rPr>
      </w:pPr>
      <w:r w:rsidRPr="00011338">
        <w:rPr>
          <w:bCs/>
          <w:sz w:val="24"/>
        </w:rPr>
        <w:t>Start time: ………….  Date: …………………….</w:t>
      </w:r>
    </w:p>
    <w:p w14:paraId="702826E0" w14:textId="77777777" w:rsidR="0006597C" w:rsidRPr="00011338" w:rsidRDefault="0006597C" w:rsidP="006B554D">
      <w:pPr>
        <w:widowControl w:val="0"/>
        <w:spacing w:line="360" w:lineRule="auto"/>
        <w:rPr>
          <w:b/>
          <w:bCs/>
          <w:sz w:val="24"/>
        </w:rPr>
      </w:pPr>
    </w:p>
    <w:p w14:paraId="40334E7F" w14:textId="40B4E5B3" w:rsidR="000D6443" w:rsidRPr="00011338" w:rsidRDefault="000D6443" w:rsidP="006B554D">
      <w:pPr>
        <w:widowControl w:val="0"/>
        <w:spacing w:before="60" w:line="312" w:lineRule="auto"/>
        <w:ind w:left="720" w:firstLine="720"/>
        <w:rPr>
          <w:b/>
          <w:bCs/>
          <w:sz w:val="24"/>
        </w:rPr>
      </w:pPr>
      <w:r w:rsidRPr="00011338">
        <w:rPr>
          <w:b/>
          <w:bCs/>
          <w:sz w:val="24"/>
        </w:rPr>
        <w:t xml:space="preserve">The </w:t>
      </w:r>
      <w:r w:rsidR="00A34003" w:rsidRPr="00A34003">
        <w:rPr>
          <w:b/>
        </w:rPr>
        <w:t>dissertation</w:t>
      </w:r>
      <w:r w:rsidR="00A34003">
        <w:rPr>
          <w:b/>
        </w:rPr>
        <w:t xml:space="preserve"> </w:t>
      </w:r>
      <w:r w:rsidRPr="00011338">
        <w:rPr>
          <w:b/>
          <w:bCs/>
          <w:sz w:val="24"/>
        </w:rPr>
        <w:t>can be found at:</w:t>
      </w:r>
    </w:p>
    <w:p w14:paraId="0B574085" w14:textId="760E2A92" w:rsidR="000D6443" w:rsidRPr="00011338" w:rsidRDefault="000D6443" w:rsidP="006B554D">
      <w:pPr>
        <w:widowControl w:val="0"/>
        <w:spacing w:before="60" w:line="312" w:lineRule="auto"/>
        <w:ind w:left="851"/>
        <w:rPr>
          <w:b/>
          <w:bCs/>
          <w:sz w:val="24"/>
        </w:rPr>
      </w:pPr>
      <w:r w:rsidRPr="00011338">
        <w:rPr>
          <w:b/>
          <w:bCs/>
          <w:sz w:val="24"/>
        </w:rPr>
        <w:t xml:space="preserve">- </w:t>
      </w:r>
      <w:r w:rsidR="00607D0E" w:rsidRPr="00011338">
        <w:rPr>
          <w:b/>
          <w:bCs/>
          <w:sz w:val="24"/>
        </w:rPr>
        <w:t xml:space="preserve">The </w:t>
      </w:r>
      <w:r w:rsidRPr="00011338">
        <w:rPr>
          <w:b/>
          <w:bCs/>
          <w:sz w:val="24"/>
        </w:rPr>
        <w:t>National Library</w:t>
      </w:r>
      <w:r w:rsidR="00607D0E" w:rsidRPr="00011338">
        <w:rPr>
          <w:b/>
          <w:bCs/>
          <w:sz w:val="24"/>
        </w:rPr>
        <w:t xml:space="preserve"> of Vietnam</w:t>
      </w:r>
    </w:p>
    <w:p w14:paraId="2D52F4C0" w14:textId="5C910067" w:rsidR="000D6443" w:rsidRPr="00011338" w:rsidRDefault="000D6443" w:rsidP="006B554D">
      <w:pPr>
        <w:widowControl w:val="0"/>
        <w:spacing w:before="60" w:line="312" w:lineRule="auto"/>
        <w:ind w:left="851" w:firstLine="0"/>
        <w:rPr>
          <w:b/>
          <w:bCs/>
          <w:sz w:val="24"/>
        </w:rPr>
      </w:pPr>
      <w:r w:rsidRPr="00011338">
        <w:rPr>
          <w:b/>
          <w:bCs/>
          <w:sz w:val="24"/>
        </w:rPr>
        <w:t xml:space="preserve">- </w:t>
      </w:r>
      <w:r w:rsidR="00640E50" w:rsidRPr="00011338">
        <w:rPr>
          <w:b/>
          <w:bCs/>
          <w:sz w:val="24"/>
        </w:rPr>
        <w:t>The l</w:t>
      </w:r>
      <w:r w:rsidRPr="00011338">
        <w:rPr>
          <w:b/>
          <w:bCs/>
          <w:sz w:val="24"/>
        </w:rPr>
        <w:t>ibrary</w:t>
      </w:r>
      <w:r w:rsidR="00640E50" w:rsidRPr="00011338">
        <w:rPr>
          <w:b/>
          <w:bCs/>
          <w:sz w:val="24"/>
        </w:rPr>
        <w:t xml:space="preserve"> of the</w:t>
      </w:r>
      <w:r w:rsidRPr="00011338">
        <w:rPr>
          <w:b/>
          <w:bCs/>
          <w:sz w:val="24"/>
        </w:rPr>
        <w:t xml:space="preserve"> Thuongmai University</w:t>
      </w:r>
    </w:p>
    <w:p w14:paraId="1178D09A" w14:textId="77777777" w:rsidR="0006597C" w:rsidRPr="00011338" w:rsidRDefault="0006597C" w:rsidP="006B554D">
      <w:pPr>
        <w:widowControl w:val="0"/>
        <w:spacing w:after="200" w:line="276" w:lineRule="auto"/>
        <w:rPr>
          <w:b/>
          <w:bCs/>
          <w:sz w:val="24"/>
        </w:rPr>
      </w:pPr>
      <w:r w:rsidRPr="00011338">
        <w:rPr>
          <w:b/>
          <w:bCs/>
          <w:sz w:val="24"/>
        </w:rPr>
        <w:br w:type="page"/>
      </w:r>
    </w:p>
    <w:p w14:paraId="62E75E8A" w14:textId="77777777" w:rsidR="0006597C" w:rsidRPr="003E3F4F" w:rsidRDefault="0006597C" w:rsidP="006B554D">
      <w:pPr>
        <w:widowControl w:val="0"/>
        <w:spacing w:line="360" w:lineRule="auto"/>
        <w:rPr>
          <w:b/>
          <w:bCs/>
          <w:sz w:val="30"/>
          <w:szCs w:val="30"/>
        </w:rPr>
        <w:sectPr w:rsidR="0006597C" w:rsidRPr="003E3F4F" w:rsidSect="00567893">
          <w:headerReference w:type="even" r:id="rId9"/>
          <w:pgSz w:w="8392" w:h="11907" w:code="11"/>
          <w:pgMar w:top="1134" w:right="567" w:bottom="1134" w:left="1701" w:header="567" w:footer="567" w:gutter="0"/>
          <w:paperSrc w:first="7"/>
          <w:pgBorders>
            <w:top w:val="thinThickSmallGap" w:sz="18" w:space="1" w:color="auto"/>
            <w:left w:val="thinThickSmallGap" w:sz="18" w:space="4" w:color="auto"/>
            <w:bottom w:val="thickThinSmallGap" w:sz="18" w:space="1" w:color="auto"/>
            <w:right w:val="thickThinSmallGap" w:sz="18" w:space="4" w:color="auto"/>
          </w:pgBorders>
          <w:cols w:space="720"/>
          <w:docGrid w:linePitch="360"/>
        </w:sectPr>
      </w:pPr>
    </w:p>
    <w:p w14:paraId="36BD7344" w14:textId="44A1BC96" w:rsidR="00661D15" w:rsidRPr="00567893" w:rsidRDefault="00A50187" w:rsidP="006B554D">
      <w:pPr>
        <w:widowControl w:val="0"/>
        <w:tabs>
          <w:tab w:val="left" w:pos="1683"/>
          <w:tab w:val="center" w:pos="2835"/>
        </w:tabs>
        <w:spacing w:line="240" w:lineRule="auto"/>
        <w:ind w:firstLine="0"/>
        <w:jc w:val="center"/>
        <w:rPr>
          <w:b/>
          <w:bCs/>
          <w:sz w:val="24"/>
          <w:szCs w:val="22"/>
        </w:rPr>
      </w:pPr>
      <w:bookmarkStart w:id="1" w:name="_Toc85116722"/>
      <w:bookmarkStart w:id="2" w:name="_Toc84751940"/>
      <w:bookmarkStart w:id="3" w:name="_Toc79939293"/>
      <w:r w:rsidRPr="00567893">
        <w:rPr>
          <w:b/>
          <w:bCs/>
          <w:sz w:val="24"/>
          <w:szCs w:val="22"/>
        </w:rPr>
        <w:lastRenderedPageBreak/>
        <w:t>INTRODUCTION</w:t>
      </w:r>
    </w:p>
    <w:p w14:paraId="03221684" w14:textId="77777777" w:rsidR="00BD272D" w:rsidRPr="00567893" w:rsidRDefault="00BD272D" w:rsidP="006B554D">
      <w:pPr>
        <w:pStyle w:val="Heading2"/>
        <w:keepNext w:val="0"/>
        <w:widowControl w:val="0"/>
        <w:spacing w:before="0" w:line="240" w:lineRule="auto"/>
        <w:ind w:firstLine="0"/>
        <w:rPr>
          <w:sz w:val="24"/>
          <w:szCs w:val="22"/>
        </w:rPr>
      </w:pPr>
      <w:r w:rsidRPr="00567893">
        <w:rPr>
          <w:sz w:val="24"/>
          <w:szCs w:val="22"/>
        </w:rPr>
        <w:t>1. Research context</w:t>
      </w:r>
    </w:p>
    <w:bookmarkEnd w:id="1"/>
    <w:bookmarkEnd w:id="2"/>
    <w:bookmarkEnd w:id="3"/>
    <w:p w14:paraId="551838B2" w14:textId="4A395078" w:rsidR="000C3BE7" w:rsidRPr="00567893" w:rsidRDefault="000C3BE7" w:rsidP="006B554D">
      <w:pPr>
        <w:widowControl w:val="0"/>
        <w:spacing w:line="240" w:lineRule="auto"/>
        <w:rPr>
          <w:sz w:val="24"/>
          <w:szCs w:val="22"/>
        </w:rPr>
      </w:pPr>
      <w:r w:rsidRPr="00567893">
        <w:rPr>
          <w:sz w:val="24"/>
          <w:szCs w:val="22"/>
        </w:rPr>
        <w:t>Global enterprises are increasingly transitioning toward a green economic model, rendering green investment behavior, particularly that of foreign direct investment (FDI) enterprises. In Vietnam, the FDI sector has made substantial contributions to economic growth, export expansion, fiscal revenues, labor productivity improvement, and access to advanced technologies, thereby supporting the achievement of sustainable development goals.</w:t>
      </w:r>
    </w:p>
    <w:p w14:paraId="4EB6384E" w14:textId="77777777" w:rsidR="000C3BE7" w:rsidRPr="00567893" w:rsidRDefault="000C3BE7" w:rsidP="006B554D">
      <w:pPr>
        <w:widowControl w:val="0"/>
        <w:spacing w:line="240" w:lineRule="auto"/>
        <w:rPr>
          <w:sz w:val="24"/>
          <w:szCs w:val="22"/>
        </w:rPr>
      </w:pPr>
      <w:r w:rsidRPr="00567893">
        <w:rPr>
          <w:sz w:val="24"/>
          <w:szCs w:val="22"/>
        </w:rPr>
        <w:t>However, FDI has also generated considerable adverse impacts on the environment and sustainable growth, as many projects have not sufficiently incorporated sustainability considerations. The implementation of Environmental, Social, and Governance (ESG) standards among FDI enterprises remains uneven, while awareness of the long-term benefits of green investment is still limited. In the context of Vietnam’s adoption of major policy frameworks such as the circular economy and the commitment to net-zero emissions by 2050, the need to attract and orient “green” FDI inflows has become increasingly urgent.</w:t>
      </w:r>
    </w:p>
    <w:p w14:paraId="3287D9AB" w14:textId="77777777" w:rsidR="000C3BE7" w:rsidRPr="00567893" w:rsidRDefault="000C3BE7" w:rsidP="006B554D">
      <w:pPr>
        <w:widowControl w:val="0"/>
        <w:spacing w:line="240" w:lineRule="auto"/>
        <w:rPr>
          <w:sz w:val="24"/>
          <w:szCs w:val="22"/>
        </w:rPr>
      </w:pPr>
      <w:r w:rsidRPr="00567893">
        <w:rPr>
          <w:sz w:val="24"/>
          <w:szCs w:val="22"/>
        </w:rPr>
        <w:t>Corporate investment behavior represents a set of deliberate decisions aimed at achieving profit objectives and long-term development strategies. In Vietnam, the investment behavior of FDI enterprises is primarily influenced by the investment climate, infrastructure quality, human resources, and the effectiveness of public services. These factors directly shape investment decisions, production and business activities, as well as the fulfillment of corporate social and environmental responsibilities.</w:t>
      </w:r>
    </w:p>
    <w:p w14:paraId="0CEBE5F3" w14:textId="736FC489" w:rsidR="000C3BE7" w:rsidRPr="00567893" w:rsidRDefault="000C3BE7" w:rsidP="006B554D">
      <w:pPr>
        <w:widowControl w:val="0"/>
        <w:spacing w:line="240" w:lineRule="auto"/>
        <w:rPr>
          <w:sz w:val="24"/>
          <w:szCs w:val="22"/>
        </w:rPr>
      </w:pPr>
      <w:r w:rsidRPr="00567893">
        <w:rPr>
          <w:sz w:val="24"/>
          <w:szCs w:val="22"/>
        </w:rPr>
        <w:t>Globally and in Vietnam, studies have examined investment mode and location choices, as well as the impacts of FDI on sustainable development. Nevertheless, comprehensive studies that integrate green investment behavior of FDI enterprises throughout their operational lifecycle, particularly in developing countries such as Vietnam, remain limited. Therefore, in-depth research on this topic is essential to enrich theoretical foundations and provide empirical evidence for the fields of green investment and sustainable development.</w:t>
      </w:r>
    </w:p>
    <w:p w14:paraId="6D18C4FC" w14:textId="77777777" w:rsidR="000C3BE7" w:rsidRPr="00567893" w:rsidRDefault="000C3BE7" w:rsidP="006B554D">
      <w:pPr>
        <w:widowControl w:val="0"/>
        <w:spacing w:line="240" w:lineRule="auto"/>
        <w:rPr>
          <w:sz w:val="24"/>
          <w:szCs w:val="22"/>
        </w:rPr>
      </w:pPr>
      <w:r w:rsidRPr="00567893">
        <w:rPr>
          <w:sz w:val="24"/>
          <w:szCs w:val="22"/>
        </w:rPr>
        <w:t xml:space="preserve">Empirical evidence indicates that many FDI enterprises in Vietnam face significant challenges in transitioning toward green production and business models; green investment practices remain fragmented and lack long-term strategic orientation. Meanwhile, increasingly stringent </w:t>
      </w:r>
      <w:r w:rsidRPr="00567893">
        <w:rPr>
          <w:sz w:val="24"/>
          <w:szCs w:val="22"/>
        </w:rPr>
        <w:lastRenderedPageBreak/>
        <w:t>international environmental standards compel enterprises to intensify green investments in order to maintain competitiveness.</w:t>
      </w:r>
    </w:p>
    <w:p w14:paraId="4CD7B20E" w14:textId="18BF099B" w:rsidR="000C3BE7" w:rsidRPr="00567893" w:rsidRDefault="000C3BE7" w:rsidP="006B554D">
      <w:pPr>
        <w:widowControl w:val="0"/>
        <w:spacing w:line="240" w:lineRule="auto"/>
        <w:rPr>
          <w:sz w:val="24"/>
          <w:szCs w:val="22"/>
        </w:rPr>
      </w:pPr>
      <w:r w:rsidRPr="00567893">
        <w:rPr>
          <w:sz w:val="24"/>
          <w:szCs w:val="22"/>
        </w:rPr>
        <w:t>Hanoi constitutes an appropriate research field due to its role as the political and economic center of Vietnam and its leading position nationwide in FDI attraction during the first half of 2025. With a diversified system of industrial zones and a pioneering role in implementing green growth strategies, Hanoi offers a representative context for examining the green investment behavior of FDI enterprises. Accordingly, the research topic is formulated as “</w:t>
      </w:r>
      <w:r w:rsidRPr="00567893">
        <w:rPr>
          <w:i/>
          <w:iCs/>
          <w:sz w:val="24"/>
          <w:szCs w:val="22"/>
        </w:rPr>
        <w:t>Study on green Investment Behavior of Foreign Direct Investment (FDI) Enterprises in Hanoi capital</w:t>
      </w:r>
      <w:r w:rsidRPr="00567893">
        <w:rPr>
          <w:sz w:val="24"/>
          <w:szCs w:val="22"/>
        </w:rPr>
        <w:t>.”</w:t>
      </w:r>
    </w:p>
    <w:p w14:paraId="049877F0" w14:textId="7C60FCE9" w:rsidR="00625D9B" w:rsidRPr="00567893" w:rsidRDefault="00625D9B" w:rsidP="006B554D">
      <w:pPr>
        <w:pStyle w:val="Heading2"/>
        <w:keepNext w:val="0"/>
        <w:widowControl w:val="0"/>
        <w:spacing w:before="0" w:line="240" w:lineRule="auto"/>
        <w:ind w:firstLine="0"/>
        <w:rPr>
          <w:sz w:val="24"/>
          <w:szCs w:val="22"/>
        </w:rPr>
      </w:pPr>
      <w:r w:rsidRPr="00567893">
        <w:rPr>
          <w:sz w:val="24"/>
          <w:szCs w:val="22"/>
        </w:rPr>
        <w:t xml:space="preserve">2. </w:t>
      </w:r>
      <w:r w:rsidR="000C3BE7" w:rsidRPr="00567893">
        <w:rPr>
          <w:sz w:val="24"/>
          <w:szCs w:val="22"/>
        </w:rPr>
        <w:t>Research objectives, questions, and missions</w:t>
      </w:r>
    </w:p>
    <w:p w14:paraId="4AFE408E" w14:textId="27AEED11" w:rsidR="000C3BE7" w:rsidRPr="00567893" w:rsidRDefault="000C3BE7" w:rsidP="006B554D">
      <w:pPr>
        <w:widowControl w:val="0"/>
        <w:spacing w:line="240" w:lineRule="auto"/>
        <w:rPr>
          <w:sz w:val="24"/>
          <w:szCs w:val="22"/>
        </w:rPr>
      </w:pPr>
      <w:r w:rsidRPr="00567893">
        <w:rPr>
          <w:b/>
          <w:bCs/>
          <w:i/>
          <w:iCs/>
          <w:sz w:val="24"/>
          <w:szCs w:val="22"/>
        </w:rPr>
        <w:t>Research objective</w:t>
      </w:r>
      <w:r w:rsidRPr="00567893">
        <w:rPr>
          <w:sz w:val="24"/>
          <w:szCs w:val="22"/>
        </w:rPr>
        <w:t>: The objective of this study is to examine the current state of green investment and its effects on the performance of FDI enterprises. Particular emphasis is placed on analyzing the role of the government as a moderating variable in green investment behavior. Based on the research findings, the study proposes policy and managerial solutions to promote green investment behavior among FDI enterprises in Hanoi.</w:t>
      </w:r>
    </w:p>
    <w:p w14:paraId="5F96D544" w14:textId="422F2AC1" w:rsidR="000C3BE7" w:rsidRPr="00567893" w:rsidRDefault="000C3BE7" w:rsidP="006B554D">
      <w:pPr>
        <w:widowControl w:val="0"/>
        <w:spacing w:line="240" w:lineRule="auto"/>
        <w:rPr>
          <w:sz w:val="24"/>
          <w:szCs w:val="22"/>
        </w:rPr>
      </w:pPr>
      <w:r w:rsidRPr="00567893">
        <w:rPr>
          <w:b/>
          <w:bCs/>
          <w:i/>
          <w:iCs/>
          <w:sz w:val="24"/>
          <w:szCs w:val="22"/>
        </w:rPr>
        <w:t xml:space="preserve">Research questions </w:t>
      </w:r>
      <w:r w:rsidRPr="00567893">
        <w:rPr>
          <w:sz w:val="24"/>
          <w:szCs w:val="22"/>
        </w:rPr>
        <w:t>include:</w:t>
      </w:r>
    </w:p>
    <w:p w14:paraId="44074A7D" w14:textId="4AA338F4" w:rsidR="000C3BE7" w:rsidRPr="00567893" w:rsidRDefault="000C3BE7" w:rsidP="006B554D">
      <w:pPr>
        <w:widowControl w:val="0"/>
        <w:spacing w:line="240" w:lineRule="auto"/>
        <w:rPr>
          <w:sz w:val="24"/>
          <w:szCs w:val="22"/>
        </w:rPr>
      </w:pPr>
      <w:r w:rsidRPr="00567893">
        <w:rPr>
          <w:sz w:val="24"/>
          <w:szCs w:val="22"/>
        </w:rPr>
        <w:t>- What is the theoretical foundation of green investment behavior among FDI enterprises?</w:t>
      </w:r>
    </w:p>
    <w:p w14:paraId="28F42DCF" w14:textId="0E8CC918" w:rsidR="000C3BE7" w:rsidRPr="00567893" w:rsidRDefault="000C3BE7" w:rsidP="006B554D">
      <w:pPr>
        <w:widowControl w:val="0"/>
        <w:spacing w:line="240" w:lineRule="auto"/>
        <w:rPr>
          <w:sz w:val="24"/>
          <w:szCs w:val="22"/>
        </w:rPr>
      </w:pPr>
      <w:r w:rsidRPr="00567893">
        <w:rPr>
          <w:sz w:val="24"/>
          <w:szCs w:val="22"/>
        </w:rPr>
        <w:t>- What is the current status of green investment behavior among FDI enterprises in Hanoi, and how does this behavior affect the performance of FDI enterprises operating in the capital?</w:t>
      </w:r>
    </w:p>
    <w:p w14:paraId="7AD82285" w14:textId="2EFD3F6C" w:rsidR="000C3BE7" w:rsidRPr="00567893" w:rsidRDefault="000C3BE7" w:rsidP="006B554D">
      <w:pPr>
        <w:widowControl w:val="0"/>
        <w:spacing w:line="240" w:lineRule="auto"/>
        <w:rPr>
          <w:sz w:val="24"/>
          <w:szCs w:val="22"/>
        </w:rPr>
      </w:pPr>
      <w:r w:rsidRPr="00567893">
        <w:rPr>
          <w:sz w:val="24"/>
          <w:szCs w:val="22"/>
        </w:rPr>
        <w:t>- What solutions should be implemented to promote green investment behavior among foreign investors?</w:t>
      </w:r>
    </w:p>
    <w:p w14:paraId="3BD90C68" w14:textId="1E0C858B" w:rsidR="000C3BE7" w:rsidRPr="00567893" w:rsidRDefault="000C3BE7" w:rsidP="006B554D">
      <w:pPr>
        <w:widowControl w:val="0"/>
        <w:spacing w:line="240" w:lineRule="auto"/>
        <w:rPr>
          <w:sz w:val="24"/>
          <w:szCs w:val="22"/>
        </w:rPr>
      </w:pPr>
      <w:r w:rsidRPr="00567893">
        <w:rPr>
          <w:b/>
          <w:bCs/>
          <w:i/>
          <w:iCs/>
          <w:sz w:val="24"/>
          <w:szCs w:val="22"/>
        </w:rPr>
        <w:t>Research missions</w:t>
      </w:r>
      <w:r w:rsidRPr="00567893">
        <w:rPr>
          <w:sz w:val="24"/>
          <w:szCs w:val="22"/>
        </w:rPr>
        <w:t xml:space="preserve"> include:</w:t>
      </w:r>
    </w:p>
    <w:p w14:paraId="4C3AE382" w14:textId="35E6AC19" w:rsidR="000C3BE7" w:rsidRPr="00567893" w:rsidRDefault="000C3BE7" w:rsidP="006B554D">
      <w:pPr>
        <w:widowControl w:val="0"/>
        <w:spacing w:line="240" w:lineRule="auto"/>
        <w:rPr>
          <w:sz w:val="24"/>
          <w:szCs w:val="22"/>
        </w:rPr>
      </w:pPr>
      <w:r w:rsidRPr="00567893">
        <w:rPr>
          <w:sz w:val="24"/>
          <w:szCs w:val="22"/>
        </w:rPr>
        <w:t>- Systematizing and developing the theoretical framework of green investment behavior among FDI enterprises.</w:t>
      </w:r>
    </w:p>
    <w:p w14:paraId="7447EDF2" w14:textId="57129EA4" w:rsidR="000C3BE7" w:rsidRPr="00567893" w:rsidRDefault="000C3BE7" w:rsidP="006B554D">
      <w:pPr>
        <w:widowControl w:val="0"/>
        <w:spacing w:line="240" w:lineRule="auto"/>
        <w:rPr>
          <w:sz w:val="24"/>
          <w:szCs w:val="22"/>
        </w:rPr>
      </w:pPr>
      <w:r w:rsidRPr="00567893">
        <w:rPr>
          <w:sz w:val="24"/>
          <w:szCs w:val="22"/>
        </w:rPr>
        <w:t>- Analyzing the current status of investment behavior of FDI enterprises in Hanoi from the perspective of green investment.</w:t>
      </w:r>
    </w:p>
    <w:p w14:paraId="061C52AA" w14:textId="70581202" w:rsidR="000C3BE7" w:rsidRPr="00567893" w:rsidRDefault="000C3BE7" w:rsidP="006B554D">
      <w:pPr>
        <w:widowControl w:val="0"/>
        <w:spacing w:line="240" w:lineRule="auto"/>
        <w:rPr>
          <w:sz w:val="24"/>
          <w:szCs w:val="22"/>
        </w:rPr>
      </w:pPr>
      <w:r w:rsidRPr="00567893">
        <w:rPr>
          <w:sz w:val="24"/>
          <w:szCs w:val="22"/>
        </w:rPr>
        <w:t>- Studying factors influencing green investment behavior of FDI enterprises in Hanoi.</w:t>
      </w:r>
    </w:p>
    <w:p w14:paraId="0787D208" w14:textId="33E4EFCE" w:rsidR="000C3BE7" w:rsidRPr="00567893" w:rsidRDefault="000C3BE7" w:rsidP="006B554D">
      <w:pPr>
        <w:widowControl w:val="0"/>
        <w:spacing w:line="240" w:lineRule="auto"/>
        <w:rPr>
          <w:sz w:val="24"/>
          <w:szCs w:val="22"/>
        </w:rPr>
      </w:pPr>
      <w:r w:rsidRPr="00567893">
        <w:rPr>
          <w:sz w:val="24"/>
          <w:szCs w:val="22"/>
        </w:rPr>
        <w:t>- Studying the relationship between green investment behavior and the performance of FDI enterprises in Hanoi.</w:t>
      </w:r>
    </w:p>
    <w:p w14:paraId="5AD45EFF" w14:textId="40EABE0A" w:rsidR="000C3BE7" w:rsidRPr="00567893" w:rsidRDefault="000C3BE7" w:rsidP="006B554D">
      <w:pPr>
        <w:widowControl w:val="0"/>
        <w:spacing w:line="240" w:lineRule="auto"/>
        <w:rPr>
          <w:sz w:val="24"/>
          <w:szCs w:val="22"/>
        </w:rPr>
      </w:pPr>
      <w:r w:rsidRPr="00567893">
        <w:rPr>
          <w:sz w:val="24"/>
          <w:szCs w:val="22"/>
        </w:rPr>
        <w:t xml:space="preserve">- Proposing recommendations to promote green investment behavior </w:t>
      </w:r>
      <w:r w:rsidRPr="00567893">
        <w:rPr>
          <w:sz w:val="24"/>
          <w:szCs w:val="22"/>
        </w:rPr>
        <w:lastRenderedPageBreak/>
        <w:t>among foreign investors in Hanoi in particular and in Vietnam in general.</w:t>
      </w:r>
    </w:p>
    <w:p w14:paraId="0E62918D" w14:textId="753010CD" w:rsidR="00EC3D82" w:rsidRPr="00567893" w:rsidRDefault="00E618C9" w:rsidP="006B554D">
      <w:pPr>
        <w:pStyle w:val="Heading2"/>
        <w:keepNext w:val="0"/>
        <w:widowControl w:val="0"/>
        <w:spacing w:before="0" w:line="240" w:lineRule="auto"/>
        <w:ind w:firstLine="0"/>
        <w:rPr>
          <w:sz w:val="24"/>
          <w:szCs w:val="22"/>
        </w:rPr>
      </w:pPr>
      <w:r w:rsidRPr="00567893">
        <w:rPr>
          <w:sz w:val="24"/>
          <w:szCs w:val="22"/>
        </w:rPr>
        <w:t xml:space="preserve">3. </w:t>
      </w:r>
      <w:r w:rsidR="000C3BE7" w:rsidRPr="00567893">
        <w:rPr>
          <w:sz w:val="24"/>
          <w:szCs w:val="22"/>
        </w:rPr>
        <w:t>Research object and scope</w:t>
      </w:r>
    </w:p>
    <w:p w14:paraId="318D4024" w14:textId="1D443D31" w:rsidR="000C3BE7" w:rsidRPr="00567893" w:rsidRDefault="000C3BE7" w:rsidP="006B554D">
      <w:pPr>
        <w:widowControl w:val="0"/>
        <w:spacing w:line="240" w:lineRule="auto"/>
        <w:rPr>
          <w:sz w:val="24"/>
          <w:szCs w:val="22"/>
        </w:rPr>
      </w:pPr>
      <w:r w:rsidRPr="00567893">
        <w:rPr>
          <w:b/>
          <w:bCs/>
          <w:i/>
          <w:iCs/>
          <w:sz w:val="24"/>
          <w:szCs w:val="22"/>
        </w:rPr>
        <w:t>Research object</w:t>
      </w:r>
      <w:r w:rsidRPr="00567893">
        <w:rPr>
          <w:sz w:val="24"/>
          <w:szCs w:val="22"/>
        </w:rPr>
        <w:t>: Green investment behavior and its impact on the performance of FDI enterprises.</w:t>
      </w:r>
    </w:p>
    <w:p w14:paraId="136E6E9A" w14:textId="77777777" w:rsidR="000C3BE7" w:rsidRPr="00567893" w:rsidRDefault="000C3BE7" w:rsidP="006B554D">
      <w:pPr>
        <w:widowControl w:val="0"/>
        <w:spacing w:line="240" w:lineRule="auto"/>
        <w:rPr>
          <w:sz w:val="24"/>
          <w:szCs w:val="22"/>
        </w:rPr>
      </w:pPr>
      <w:r w:rsidRPr="00567893">
        <w:rPr>
          <w:b/>
          <w:bCs/>
          <w:i/>
          <w:iCs/>
          <w:sz w:val="24"/>
          <w:szCs w:val="22"/>
        </w:rPr>
        <w:t>Scope of the study</w:t>
      </w:r>
      <w:r w:rsidRPr="00567893">
        <w:rPr>
          <w:sz w:val="24"/>
          <w:szCs w:val="22"/>
        </w:rPr>
        <w:t>:</w:t>
      </w:r>
    </w:p>
    <w:p w14:paraId="22B5DCB8" w14:textId="49117FCD" w:rsidR="000C3BE7" w:rsidRPr="00567893" w:rsidRDefault="000C3BE7" w:rsidP="006B554D">
      <w:pPr>
        <w:widowControl w:val="0"/>
        <w:spacing w:line="240" w:lineRule="auto"/>
        <w:rPr>
          <w:sz w:val="24"/>
          <w:szCs w:val="22"/>
        </w:rPr>
      </w:pPr>
      <w:r w:rsidRPr="00567893">
        <w:rPr>
          <w:sz w:val="24"/>
          <w:szCs w:val="22"/>
        </w:rPr>
        <w:t xml:space="preserve">- </w:t>
      </w:r>
      <w:r w:rsidRPr="00567893">
        <w:rPr>
          <w:i/>
          <w:iCs/>
          <w:sz w:val="24"/>
          <w:szCs w:val="22"/>
        </w:rPr>
        <w:t>Content scope</w:t>
      </w:r>
      <w:r w:rsidRPr="00567893">
        <w:rPr>
          <w:sz w:val="24"/>
          <w:szCs w:val="22"/>
        </w:rPr>
        <w:t>: The study examines the green investment behavior of FDI enterprises operating in Hanoi.</w:t>
      </w:r>
    </w:p>
    <w:p w14:paraId="1B824365" w14:textId="6C277FD0" w:rsidR="000C3BE7" w:rsidRPr="00567893" w:rsidRDefault="000C3BE7" w:rsidP="006B554D">
      <w:pPr>
        <w:widowControl w:val="0"/>
        <w:spacing w:line="240" w:lineRule="auto"/>
        <w:rPr>
          <w:sz w:val="24"/>
          <w:szCs w:val="22"/>
        </w:rPr>
      </w:pPr>
      <w:r w:rsidRPr="00567893">
        <w:rPr>
          <w:sz w:val="24"/>
          <w:szCs w:val="22"/>
        </w:rPr>
        <w:t xml:space="preserve">- </w:t>
      </w:r>
      <w:r w:rsidRPr="00567893">
        <w:rPr>
          <w:i/>
          <w:iCs/>
          <w:sz w:val="24"/>
          <w:szCs w:val="22"/>
        </w:rPr>
        <w:t>Spatial scope</w:t>
      </w:r>
      <w:r w:rsidRPr="00567893">
        <w:rPr>
          <w:sz w:val="24"/>
          <w:szCs w:val="22"/>
        </w:rPr>
        <w:t>: FDI enterprises located in Hanoi.</w:t>
      </w:r>
    </w:p>
    <w:p w14:paraId="00E1B294" w14:textId="5AF0A2E2" w:rsidR="000C3BE7" w:rsidRPr="00567893" w:rsidRDefault="000C3BE7" w:rsidP="006B554D">
      <w:pPr>
        <w:widowControl w:val="0"/>
        <w:spacing w:line="240" w:lineRule="auto"/>
        <w:rPr>
          <w:sz w:val="24"/>
          <w:szCs w:val="22"/>
        </w:rPr>
      </w:pPr>
      <w:r w:rsidRPr="00567893">
        <w:rPr>
          <w:sz w:val="24"/>
          <w:szCs w:val="22"/>
        </w:rPr>
        <w:t xml:space="preserve">- </w:t>
      </w:r>
      <w:r w:rsidRPr="00567893">
        <w:rPr>
          <w:i/>
          <w:iCs/>
          <w:sz w:val="24"/>
          <w:szCs w:val="22"/>
        </w:rPr>
        <w:t>Temporal scope</w:t>
      </w:r>
      <w:r w:rsidRPr="00567893">
        <w:rPr>
          <w:sz w:val="24"/>
          <w:szCs w:val="22"/>
        </w:rPr>
        <w:t>: Secondary data are collected and synthesized for the period 2020–2023; primary data are collected and compiled during 2024–2025. The proposed solutions are developed with a strategic vision extending to 2030.</w:t>
      </w:r>
    </w:p>
    <w:p w14:paraId="2AA9B208" w14:textId="6F6759BB" w:rsidR="00386F96" w:rsidRPr="00567893" w:rsidRDefault="00386F96" w:rsidP="006B554D">
      <w:pPr>
        <w:pStyle w:val="Heading2"/>
        <w:keepNext w:val="0"/>
        <w:widowControl w:val="0"/>
        <w:spacing w:before="0" w:line="240" w:lineRule="auto"/>
        <w:ind w:firstLine="0"/>
        <w:rPr>
          <w:sz w:val="24"/>
          <w:szCs w:val="22"/>
        </w:rPr>
      </w:pPr>
      <w:r w:rsidRPr="00567893">
        <w:rPr>
          <w:sz w:val="24"/>
          <w:szCs w:val="22"/>
        </w:rPr>
        <w:t xml:space="preserve">4. Research </w:t>
      </w:r>
      <w:r w:rsidR="00512600" w:rsidRPr="00567893">
        <w:rPr>
          <w:sz w:val="24"/>
          <w:szCs w:val="22"/>
        </w:rPr>
        <w:t>methodology</w:t>
      </w:r>
    </w:p>
    <w:p w14:paraId="30888513" w14:textId="0F572275" w:rsidR="00D5477F" w:rsidRPr="00567893" w:rsidRDefault="00512600" w:rsidP="006B554D">
      <w:pPr>
        <w:widowControl w:val="0"/>
        <w:spacing w:line="240" w:lineRule="auto"/>
        <w:rPr>
          <w:sz w:val="24"/>
          <w:szCs w:val="22"/>
        </w:rPr>
      </w:pPr>
      <w:r w:rsidRPr="00567893">
        <w:rPr>
          <w:sz w:val="24"/>
          <w:szCs w:val="22"/>
        </w:rPr>
        <w:t>The research adopts a two-stage research approach to ensure a solid theoretical foundation and rigorous empirical validation of the research model. Stage 1 employs a literature review and qualitative research to clarify the concepts, dimensions, and determinants of green investment behavior among FDI enterprises, while refining measurement scales and finalizing a model that is appropriate to the context of Hanoi. Stage 2 implements quantitative research through surveys of FDI managers and investors, applying statistical techniques, factor analysis, and regression methods to test the research model and hypotheses. This mixed-methods approach enhances the reliability of the findings and strengthens their practical relevance for management and policy formulation.</w:t>
      </w:r>
    </w:p>
    <w:p w14:paraId="20BD9381" w14:textId="0515B3C0" w:rsidR="00386F96" w:rsidRPr="00567893" w:rsidRDefault="00103FF4" w:rsidP="006B554D">
      <w:pPr>
        <w:pStyle w:val="Heading2"/>
        <w:keepNext w:val="0"/>
        <w:widowControl w:val="0"/>
        <w:spacing w:before="0" w:line="240" w:lineRule="auto"/>
        <w:ind w:firstLine="0"/>
        <w:rPr>
          <w:sz w:val="24"/>
          <w:szCs w:val="22"/>
        </w:rPr>
      </w:pPr>
      <w:r w:rsidRPr="00567893">
        <w:rPr>
          <w:sz w:val="24"/>
          <w:szCs w:val="22"/>
        </w:rPr>
        <w:t xml:space="preserve">5. </w:t>
      </w:r>
      <w:r w:rsidR="00512600" w:rsidRPr="00567893">
        <w:rPr>
          <w:sz w:val="24"/>
          <w:szCs w:val="22"/>
        </w:rPr>
        <w:t>Scientific and practical contributions</w:t>
      </w:r>
    </w:p>
    <w:p w14:paraId="730F0345" w14:textId="698AC28B" w:rsidR="00512600" w:rsidRPr="00567893" w:rsidRDefault="00512600" w:rsidP="006B554D">
      <w:pPr>
        <w:widowControl w:val="0"/>
        <w:spacing w:line="240" w:lineRule="auto"/>
        <w:rPr>
          <w:sz w:val="24"/>
          <w:szCs w:val="22"/>
        </w:rPr>
      </w:pPr>
      <w:r w:rsidRPr="00567893">
        <w:rPr>
          <w:i/>
          <w:iCs/>
          <w:sz w:val="24"/>
          <w:szCs w:val="22"/>
        </w:rPr>
        <w:t>In terms of theoretical contributions</w:t>
      </w:r>
      <w:r w:rsidRPr="00567893">
        <w:rPr>
          <w:sz w:val="24"/>
          <w:szCs w:val="22"/>
        </w:rPr>
        <w:t>, the research systematizes and advances the theoretical framework on green investment behavior of FDI enterprises within the context of the green economy and sustainable development. The study affirms that green investment behavior is influenced not only by economic benefits but also by global sustainability commitments and the regulatory framework of the host country. Furthermore, it develops an analytical model examining the impact of green investment on firm performance, incorporating the moderating role of government green policies.</w:t>
      </w:r>
    </w:p>
    <w:p w14:paraId="0E9F4B4E" w14:textId="4EA3AB78" w:rsidR="00512600" w:rsidRPr="00567893" w:rsidRDefault="00512600" w:rsidP="006B554D">
      <w:pPr>
        <w:widowControl w:val="0"/>
        <w:spacing w:line="240" w:lineRule="auto"/>
        <w:rPr>
          <w:sz w:val="24"/>
          <w:szCs w:val="22"/>
        </w:rPr>
      </w:pPr>
      <w:r w:rsidRPr="00567893">
        <w:rPr>
          <w:i/>
          <w:iCs/>
          <w:sz w:val="24"/>
          <w:szCs w:val="22"/>
        </w:rPr>
        <w:t>In terms of practical contributions</w:t>
      </w:r>
      <w:r w:rsidRPr="00567893">
        <w:rPr>
          <w:sz w:val="24"/>
          <w:szCs w:val="22"/>
        </w:rPr>
        <w:t xml:space="preserve">, the research analyzes the current state of green investment behavior among FDI enterprises in Hanoi, revealing a growing focus on high technology and green production, albeit </w:t>
      </w:r>
      <w:r w:rsidRPr="00567893">
        <w:rPr>
          <w:sz w:val="24"/>
          <w:szCs w:val="22"/>
        </w:rPr>
        <w:lastRenderedPageBreak/>
        <w:t xml:space="preserve">with </w:t>
      </w:r>
      <w:r w:rsidRPr="00567893">
        <w:rPr>
          <w:spacing w:val="-4"/>
          <w:sz w:val="24"/>
          <w:szCs w:val="22"/>
        </w:rPr>
        <w:t>uneven implementation and strong dependence on cost considerations and policy support. Empirical results confirm that green investment behavior exerts a positive effect on firm performance, with government</w:t>
      </w:r>
      <w:r w:rsidRPr="00567893">
        <w:rPr>
          <w:sz w:val="24"/>
          <w:szCs w:val="22"/>
        </w:rPr>
        <w:t xml:space="preserve"> green development policies playing a significant moderating role.</w:t>
      </w:r>
    </w:p>
    <w:p w14:paraId="2373DC27" w14:textId="3B84A35D" w:rsidR="001A3845" w:rsidRPr="00567893" w:rsidRDefault="00512600" w:rsidP="006B554D">
      <w:pPr>
        <w:widowControl w:val="0"/>
        <w:spacing w:line="240" w:lineRule="auto"/>
        <w:rPr>
          <w:sz w:val="24"/>
          <w:szCs w:val="22"/>
        </w:rPr>
      </w:pPr>
      <w:r w:rsidRPr="00567893">
        <w:rPr>
          <w:i/>
          <w:iCs/>
          <w:sz w:val="24"/>
          <w:szCs w:val="22"/>
        </w:rPr>
        <w:t>With regard to implications and recommendations</w:t>
      </w:r>
      <w:r w:rsidRPr="00567893">
        <w:rPr>
          <w:sz w:val="24"/>
          <w:szCs w:val="22"/>
        </w:rPr>
        <w:t>, the research proposes that FDI enterprises integrate environmental objectives into their business strategies and regard green investment as a source of long-term competitive advantage through technological innovation, human resource development, and the establishment of green supply chains. Concurrently, the study recommends that the State and the Hanoi government strengthen the legal framework, screen FDI projects based on environmental commitments, develop green infrastructure and green finance, streamline administrative procedures, and enhance the role of business associations.</w:t>
      </w:r>
    </w:p>
    <w:p w14:paraId="19405168" w14:textId="0162FC00" w:rsidR="00113580" w:rsidRPr="00567893" w:rsidRDefault="00406BB5" w:rsidP="006B554D">
      <w:pPr>
        <w:pStyle w:val="Heading2"/>
        <w:keepNext w:val="0"/>
        <w:widowControl w:val="0"/>
        <w:spacing w:before="0" w:line="240" w:lineRule="auto"/>
        <w:ind w:firstLine="0"/>
        <w:rPr>
          <w:sz w:val="24"/>
          <w:szCs w:val="22"/>
        </w:rPr>
      </w:pPr>
      <w:r w:rsidRPr="00567893">
        <w:rPr>
          <w:sz w:val="24"/>
          <w:szCs w:val="22"/>
        </w:rPr>
        <w:t xml:space="preserve">6. </w:t>
      </w:r>
      <w:r w:rsidR="00512600" w:rsidRPr="00567893">
        <w:rPr>
          <w:sz w:val="24"/>
          <w:szCs w:val="22"/>
        </w:rPr>
        <w:t xml:space="preserve">Thesis </w:t>
      </w:r>
      <w:r w:rsidR="00C22FE5" w:rsidRPr="00567893">
        <w:rPr>
          <w:sz w:val="24"/>
          <w:szCs w:val="22"/>
        </w:rPr>
        <w:t>structure</w:t>
      </w:r>
    </w:p>
    <w:p w14:paraId="0C49A802" w14:textId="108DDDBA" w:rsidR="00512600" w:rsidRPr="00567893" w:rsidRDefault="00512600" w:rsidP="006B554D">
      <w:pPr>
        <w:widowControl w:val="0"/>
        <w:spacing w:line="240" w:lineRule="auto"/>
        <w:rPr>
          <w:sz w:val="24"/>
          <w:szCs w:val="22"/>
        </w:rPr>
      </w:pPr>
      <w:r w:rsidRPr="00567893">
        <w:rPr>
          <w:sz w:val="24"/>
          <w:szCs w:val="22"/>
        </w:rPr>
        <w:t>The thesis is organized into four chapters, excluding the introduction and conclusion, as follows:</w:t>
      </w:r>
    </w:p>
    <w:p w14:paraId="39A23BF9" w14:textId="4C3D2113" w:rsidR="00512600" w:rsidRPr="00567893" w:rsidRDefault="00512600" w:rsidP="006B554D">
      <w:pPr>
        <w:widowControl w:val="0"/>
        <w:spacing w:line="240" w:lineRule="auto"/>
        <w:rPr>
          <w:sz w:val="24"/>
          <w:szCs w:val="22"/>
        </w:rPr>
      </w:pPr>
      <w:r w:rsidRPr="00567893">
        <w:rPr>
          <w:sz w:val="24"/>
          <w:szCs w:val="22"/>
        </w:rPr>
        <w:t xml:space="preserve">Chapter 1: Literature </w:t>
      </w:r>
      <w:r w:rsidR="001F50A2" w:rsidRPr="00567893">
        <w:rPr>
          <w:sz w:val="24"/>
          <w:szCs w:val="22"/>
        </w:rPr>
        <w:t>review and research gaps</w:t>
      </w:r>
    </w:p>
    <w:p w14:paraId="76385B60" w14:textId="29B738AA" w:rsidR="00512600" w:rsidRPr="00567893" w:rsidRDefault="00512600" w:rsidP="006B554D">
      <w:pPr>
        <w:widowControl w:val="0"/>
        <w:spacing w:line="240" w:lineRule="auto"/>
        <w:rPr>
          <w:sz w:val="24"/>
          <w:szCs w:val="22"/>
        </w:rPr>
      </w:pPr>
      <w:r w:rsidRPr="00567893">
        <w:rPr>
          <w:sz w:val="24"/>
          <w:szCs w:val="22"/>
        </w:rPr>
        <w:t xml:space="preserve">Chapter 2: Theoretical </w:t>
      </w:r>
      <w:r w:rsidR="001F50A2" w:rsidRPr="00567893">
        <w:rPr>
          <w:sz w:val="24"/>
          <w:szCs w:val="22"/>
        </w:rPr>
        <w:t xml:space="preserve">and practical </w:t>
      </w:r>
      <w:r w:rsidRPr="00567893">
        <w:rPr>
          <w:sz w:val="24"/>
          <w:szCs w:val="22"/>
        </w:rPr>
        <w:t>foundations of green investment behavior of FDI enterprises</w:t>
      </w:r>
    </w:p>
    <w:p w14:paraId="575CB86D" w14:textId="28468D75" w:rsidR="00512600" w:rsidRPr="00567893" w:rsidRDefault="00512600" w:rsidP="006B554D">
      <w:pPr>
        <w:widowControl w:val="0"/>
        <w:spacing w:line="240" w:lineRule="auto"/>
        <w:rPr>
          <w:sz w:val="24"/>
          <w:szCs w:val="22"/>
        </w:rPr>
      </w:pPr>
      <w:r w:rsidRPr="00567893">
        <w:rPr>
          <w:sz w:val="24"/>
          <w:szCs w:val="22"/>
        </w:rPr>
        <w:t>Chapter 3: Analyzing the current status of green investment behavior of FDI enterprises in Hanoi</w:t>
      </w:r>
    </w:p>
    <w:p w14:paraId="4DB4CB8E" w14:textId="40358B74" w:rsidR="00512600" w:rsidRPr="00567893" w:rsidRDefault="00512600" w:rsidP="006B554D">
      <w:pPr>
        <w:widowControl w:val="0"/>
        <w:spacing w:line="240" w:lineRule="auto"/>
        <w:rPr>
          <w:sz w:val="24"/>
          <w:szCs w:val="22"/>
        </w:rPr>
      </w:pPr>
      <w:r w:rsidRPr="00567893">
        <w:rPr>
          <w:sz w:val="24"/>
          <w:szCs w:val="22"/>
        </w:rPr>
        <w:t>Chapter 4: Proposed solutions and policy recommendations to promote green investment behavior among FDI enterprises in Hanoi for the period 2025–2030, with a vision to 2050</w:t>
      </w:r>
    </w:p>
    <w:p w14:paraId="786EEF1B" w14:textId="5710D670" w:rsidR="0058036A" w:rsidRPr="00567893" w:rsidRDefault="00567893" w:rsidP="006B554D">
      <w:pPr>
        <w:widowControl w:val="0"/>
        <w:tabs>
          <w:tab w:val="left" w:pos="1683"/>
          <w:tab w:val="center" w:pos="2835"/>
        </w:tabs>
        <w:spacing w:line="240" w:lineRule="auto"/>
        <w:ind w:firstLine="0"/>
        <w:jc w:val="center"/>
        <w:rPr>
          <w:b/>
          <w:bCs/>
          <w:sz w:val="24"/>
          <w:szCs w:val="22"/>
        </w:rPr>
      </w:pPr>
      <w:r>
        <w:rPr>
          <w:b/>
          <w:bCs/>
          <w:sz w:val="24"/>
          <w:szCs w:val="22"/>
        </w:rPr>
        <w:br w:type="column"/>
      </w:r>
      <w:r w:rsidR="0058036A" w:rsidRPr="00567893">
        <w:rPr>
          <w:b/>
          <w:bCs/>
          <w:sz w:val="24"/>
          <w:szCs w:val="22"/>
        </w:rPr>
        <w:lastRenderedPageBreak/>
        <w:t>CHAPTER 1</w:t>
      </w:r>
      <w:r w:rsidR="001F50A2" w:rsidRPr="00567893">
        <w:rPr>
          <w:b/>
          <w:bCs/>
          <w:sz w:val="24"/>
          <w:szCs w:val="22"/>
        </w:rPr>
        <w:t>: Literature Review and research gaps</w:t>
      </w:r>
    </w:p>
    <w:p w14:paraId="4CE48848" w14:textId="1B4C7785" w:rsidR="008E5F7C" w:rsidRPr="00567893" w:rsidRDefault="0058036A"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1.1. </w:t>
      </w:r>
      <w:r w:rsidR="001F50A2" w:rsidRPr="00567893">
        <w:rPr>
          <w:b/>
          <w:bCs/>
          <w:color w:val="000000" w:themeColor="text1"/>
          <w:sz w:val="24"/>
          <w:szCs w:val="22"/>
        </w:rPr>
        <w:t>Literature review</w:t>
      </w:r>
    </w:p>
    <w:p w14:paraId="5EEC54DE" w14:textId="74189DD5" w:rsidR="001F50A2" w:rsidRPr="00567893" w:rsidRDefault="001F50A2" w:rsidP="006B554D">
      <w:pPr>
        <w:widowControl w:val="0"/>
        <w:spacing w:line="240" w:lineRule="auto"/>
        <w:ind w:firstLine="0"/>
        <w:rPr>
          <w:b/>
          <w:bCs/>
          <w:i/>
          <w:iCs/>
          <w:sz w:val="24"/>
          <w:szCs w:val="22"/>
        </w:rPr>
      </w:pPr>
      <w:r w:rsidRPr="00567893">
        <w:rPr>
          <w:b/>
          <w:bCs/>
          <w:i/>
          <w:iCs/>
          <w:sz w:val="24"/>
          <w:szCs w:val="22"/>
        </w:rPr>
        <w:t>1.1.1. Studies on corporate green investment behavior and its determinants</w:t>
      </w:r>
    </w:p>
    <w:p w14:paraId="2B80C1F5" w14:textId="77777777" w:rsidR="001F50A2" w:rsidRPr="00567893" w:rsidRDefault="001F50A2" w:rsidP="006B554D">
      <w:pPr>
        <w:widowControl w:val="0"/>
        <w:spacing w:line="240" w:lineRule="auto"/>
        <w:rPr>
          <w:sz w:val="24"/>
          <w:szCs w:val="22"/>
        </w:rPr>
      </w:pPr>
      <w:r w:rsidRPr="00567893">
        <w:rPr>
          <w:sz w:val="24"/>
          <w:szCs w:val="22"/>
        </w:rPr>
        <w:t xml:space="preserve">Notable studies in this area include those by Mahbub et al. </w:t>
      </w:r>
      <w:r w:rsidRPr="00567893">
        <w:rPr>
          <w:sz w:val="24"/>
          <w:szCs w:val="22"/>
          <w:lang w:val="fr-FR"/>
        </w:rPr>
        <w:t xml:space="preserve">(2022), Chipalkatti et al. (2021), Pástor et al. </w:t>
      </w:r>
      <w:r w:rsidRPr="00567893">
        <w:rPr>
          <w:sz w:val="24"/>
          <w:szCs w:val="22"/>
        </w:rPr>
        <w:t>(2021), Sauvant et al. (2021), Aust et al. (2020), AlMazrouie and Nobanee (2020), Greeninvest (2017), and Ridzuan et al. (2017), among others.</w:t>
      </w:r>
    </w:p>
    <w:p w14:paraId="0D93241A" w14:textId="662A802B" w:rsidR="001F50A2" w:rsidRPr="00567893" w:rsidRDefault="001F50A2" w:rsidP="006B554D">
      <w:pPr>
        <w:widowControl w:val="0"/>
        <w:spacing w:line="240" w:lineRule="auto"/>
        <w:ind w:firstLine="0"/>
        <w:rPr>
          <w:b/>
          <w:bCs/>
          <w:i/>
          <w:iCs/>
          <w:sz w:val="24"/>
          <w:szCs w:val="22"/>
        </w:rPr>
      </w:pPr>
      <w:r w:rsidRPr="00567893">
        <w:rPr>
          <w:b/>
          <w:bCs/>
          <w:i/>
          <w:iCs/>
          <w:sz w:val="24"/>
          <w:szCs w:val="22"/>
        </w:rPr>
        <w:t>1.1.2. Studies on the impact of green investment behavior on firm performance</w:t>
      </w:r>
    </w:p>
    <w:p w14:paraId="60DCA534" w14:textId="77777777" w:rsidR="001F50A2" w:rsidRPr="00567893" w:rsidRDefault="001F50A2" w:rsidP="006B554D">
      <w:pPr>
        <w:widowControl w:val="0"/>
        <w:spacing w:line="240" w:lineRule="auto"/>
        <w:rPr>
          <w:sz w:val="24"/>
          <w:szCs w:val="22"/>
        </w:rPr>
      </w:pPr>
      <w:r w:rsidRPr="00567893">
        <w:rPr>
          <w:sz w:val="24"/>
          <w:szCs w:val="22"/>
        </w:rPr>
        <w:t xml:space="preserve">Representative studies include Chen and Ma (2021), Siedschlag and Yan (2023), Khan et al. </w:t>
      </w:r>
      <w:r w:rsidRPr="00567893">
        <w:rPr>
          <w:sz w:val="24"/>
          <w:szCs w:val="22"/>
          <w:lang w:val="fr-FR"/>
        </w:rPr>
        <w:t xml:space="preserve">(2023), Li et al. (2023), Khan and Muktar (2024), Ai et al. (2024), Li et al. </w:t>
      </w:r>
      <w:r w:rsidRPr="00567893">
        <w:rPr>
          <w:sz w:val="24"/>
          <w:szCs w:val="22"/>
        </w:rPr>
        <w:t>(2019), Abbas (2024), and Mehrajunnisa et al. (2023), among others.</w:t>
      </w:r>
    </w:p>
    <w:p w14:paraId="1081F370" w14:textId="2E4AD0F2" w:rsidR="001F50A2" w:rsidRPr="00567893" w:rsidRDefault="001F50A2" w:rsidP="006B554D">
      <w:pPr>
        <w:widowControl w:val="0"/>
        <w:spacing w:line="240" w:lineRule="auto"/>
        <w:ind w:firstLine="0"/>
        <w:rPr>
          <w:b/>
          <w:bCs/>
          <w:i/>
          <w:iCs/>
          <w:sz w:val="24"/>
          <w:szCs w:val="22"/>
        </w:rPr>
      </w:pPr>
      <w:r w:rsidRPr="00567893">
        <w:rPr>
          <w:b/>
          <w:bCs/>
          <w:i/>
          <w:iCs/>
          <w:sz w:val="24"/>
          <w:szCs w:val="22"/>
        </w:rPr>
        <w:t>1.1.3. Studies in Vietnam on green investment behavior of FDI enterprises</w:t>
      </w:r>
    </w:p>
    <w:p w14:paraId="7CB5C80C" w14:textId="6464B753" w:rsidR="001F50A2" w:rsidRPr="00567893" w:rsidRDefault="001F50A2" w:rsidP="006B554D">
      <w:pPr>
        <w:widowControl w:val="0"/>
        <w:spacing w:line="240" w:lineRule="auto"/>
        <w:rPr>
          <w:sz w:val="24"/>
          <w:szCs w:val="22"/>
        </w:rPr>
      </w:pPr>
      <w:r w:rsidRPr="00567893">
        <w:rPr>
          <w:sz w:val="24"/>
          <w:szCs w:val="22"/>
        </w:rPr>
        <w:t>Key studies include Le and Tham (2024), Nguyen Hoang Viet et al. (2021), Ho et al. (2020), Nguyen et al. (2019), Pham (2019), and Nguyen (2019), among others.</w:t>
      </w:r>
    </w:p>
    <w:p w14:paraId="6A589DB1" w14:textId="65821FFA" w:rsidR="00292041" w:rsidRPr="00567893" w:rsidRDefault="00A7000C"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1.2. </w:t>
      </w:r>
      <w:r w:rsidR="001F50A2" w:rsidRPr="00567893">
        <w:rPr>
          <w:b/>
          <w:bCs/>
          <w:color w:val="000000" w:themeColor="text1"/>
          <w:sz w:val="24"/>
          <w:szCs w:val="22"/>
        </w:rPr>
        <w:t>Research gaps and approach</w:t>
      </w:r>
    </w:p>
    <w:p w14:paraId="608E1671" w14:textId="560D3900" w:rsidR="001F50A2" w:rsidRPr="00567893" w:rsidRDefault="001F50A2" w:rsidP="006B554D">
      <w:pPr>
        <w:widowControl w:val="0"/>
        <w:spacing w:line="240" w:lineRule="auto"/>
        <w:rPr>
          <w:sz w:val="24"/>
          <w:szCs w:val="22"/>
        </w:rPr>
      </w:pPr>
      <w:r w:rsidRPr="00567893">
        <w:rPr>
          <w:sz w:val="24"/>
          <w:szCs w:val="22"/>
        </w:rPr>
        <w:t>The literature review indicates that international studies on FDI and sustainable development have been relatively extensive since the 1990s; however, they have primarily focused on investment mode and location choices, or have been conducted in developed countries with well-established policy frameworks and ESG standards. Research examining green investment behavior throughout the entire operational lifecycle of FDI enterprises, as well as the relationship between such behavior and firm performance, particularly in developing countries such as Vietnam, remains limited. In Vietnam, existing studies are largely conducted at the macro level or address enterprises in general, while in-depth analyses of green investment behavior among FDI enterprises and the moderating role of green development policies have received little scholarly attention.</w:t>
      </w:r>
    </w:p>
    <w:p w14:paraId="38D338F6" w14:textId="308D6AE7" w:rsidR="009179DD" w:rsidRPr="00567893" w:rsidRDefault="001F50A2" w:rsidP="006B554D">
      <w:pPr>
        <w:widowControl w:val="0"/>
        <w:spacing w:line="240" w:lineRule="auto"/>
        <w:rPr>
          <w:sz w:val="24"/>
          <w:szCs w:val="22"/>
        </w:rPr>
      </w:pPr>
      <w:r w:rsidRPr="00567893">
        <w:rPr>
          <w:sz w:val="24"/>
          <w:szCs w:val="22"/>
        </w:rPr>
        <w:t xml:space="preserve">Building on domestic and international studies, this dissertation applies relevant theoretical frameworks and a mixed-methods approach to address these gaps by examining the green investment behavior of FDI enterprises and its impact on firm performance in Hanoi. The expected findings are anticipated to contribute to both academic knowledge and practical </w:t>
      </w:r>
      <w:r w:rsidRPr="00567893">
        <w:rPr>
          <w:sz w:val="24"/>
          <w:szCs w:val="22"/>
        </w:rPr>
        <w:lastRenderedPageBreak/>
        <w:t>applications, supporting the attraction of high-quality FDI and enhancing the effectiveness of policy formulation in line with sustainable development objectives.</w:t>
      </w:r>
    </w:p>
    <w:p w14:paraId="2F896373" w14:textId="755E40B5" w:rsidR="009179DD" w:rsidRPr="00567893" w:rsidRDefault="009179DD" w:rsidP="006B554D">
      <w:pPr>
        <w:widowControl w:val="0"/>
        <w:spacing w:line="240" w:lineRule="auto"/>
        <w:jc w:val="center"/>
        <w:rPr>
          <w:b/>
          <w:bCs/>
          <w:color w:val="000000" w:themeColor="text1"/>
          <w:sz w:val="24"/>
          <w:szCs w:val="22"/>
        </w:rPr>
      </w:pPr>
      <w:r w:rsidRPr="00567893">
        <w:rPr>
          <w:b/>
          <w:bCs/>
          <w:color w:val="000000" w:themeColor="text1"/>
          <w:sz w:val="24"/>
          <w:szCs w:val="22"/>
        </w:rPr>
        <w:t>CHAPTER 2</w:t>
      </w:r>
      <w:r w:rsidR="001F50A2" w:rsidRPr="00567893">
        <w:rPr>
          <w:b/>
          <w:bCs/>
          <w:color w:val="000000" w:themeColor="text1"/>
          <w:sz w:val="24"/>
          <w:szCs w:val="22"/>
        </w:rPr>
        <w:t>:</w:t>
      </w:r>
      <w:r w:rsidRPr="00567893">
        <w:rPr>
          <w:b/>
          <w:bCs/>
          <w:color w:val="000000" w:themeColor="text1"/>
          <w:sz w:val="24"/>
          <w:szCs w:val="22"/>
        </w:rPr>
        <w:t xml:space="preserve"> </w:t>
      </w:r>
      <w:r w:rsidR="001F50A2" w:rsidRPr="00567893">
        <w:rPr>
          <w:b/>
          <w:bCs/>
          <w:color w:val="000000" w:themeColor="text1"/>
          <w:sz w:val="24"/>
          <w:szCs w:val="22"/>
        </w:rPr>
        <w:t>THEORETICAL AND PRACTICAL FOUNDATIONS OF GREEN INVESTMENT BEHAVIOR OF FDI ENTERPRISES</w:t>
      </w:r>
    </w:p>
    <w:p w14:paraId="1A3FDB7D" w14:textId="588D5AA9" w:rsidR="007F57DC" w:rsidRPr="00567893" w:rsidRDefault="007F57DC"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2.1. </w:t>
      </w:r>
      <w:r w:rsidR="001F50A2" w:rsidRPr="00567893">
        <w:rPr>
          <w:b/>
          <w:bCs/>
          <w:color w:val="000000" w:themeColor="text1"/>
          <w:sz w:val="24"/>
          <w:szCs w:val="22"/>
        </w:rPr>
        <w:t xml:space="preserve">Basic </w:t>
      </w:r>
      <w:r w:rsidR="006602B6" w:rsidRPr="00567893">
        <w:rPr>
          <w:b/>
          <w:bCs/>
          <w:color w:val="000000" w:themeColor="text1"/>
          <w:sz w:val="24"/>
          <w:szCs w:val="22"/>
        </w:rPr>
        <w:t>definitions</w:t>
      </w:r>
    </w:p>
    <w:p w14:paraId="077063E3" w14:textId="340C6690" w:rsidR="006602B6" w:rsidRPr="00567893" w:rsidRDefault="006602B6" w:rsidP="006B554D">
      <w:pPr>
        <w:widowControl w:val="0"/>
        <w:spacing w:line="240" w:lineRule="auto"/>
        <w:ind w:firstLine="0"/>
        <w:rPr>
          <w:b/>
          <w:bCs/>
          <w:i/>
          <w:iCs/>
          <w:sz w:val="24"/>
          <w:szCs w:val="22"/>
        </w:rPr>
      </w:pPr>
      <w:r w:rsidRPr="00567893">
        <w:rPr>
          <w:b/>
          <w:bCs/>
          <w:i/>
          <w:iCs/>
          <w:sz w:val="24"/>
          <w:szCs w:val="22"/>
        </w:rPr>
        <w:t>2.1.1. Corporate investment behavior</w:t>
      </w:r>
    </w:p>
    <w:p w14:paraId="15F1C8F3" w14:textId="77777777" w:rsidR="006602B6" w:rsidRPr="00567893" w:rsidRDefault="006602B6" w:rsidP="006B554D">
      <w:pPr>
        <w:widowControl w:val="0"/>
        <w:spacing w:line="240" w:lineRule="auto"/>
        <w:rPr>
          <w:sz w:val="24"/>
          <w:szCs w:val="22"/>
        </w:rPr>
      </w:pPr>
      <w:r w:rsidRPr="00567893">
        <w:rPr>
          <w:sz w:val="24"/>
          <w:szCs w:val="22"/>
        </w:rPr>
        <w:t>Corporate investment behavior is defined as the behavior of corporate investors related to the search for, acquisition, use, evaluation, and disposal of goods, services, ideas, or experiences in order to satisfy identified needs and objectives (Rosenboim et al., 2008; Aharoni, 2011).</w:t>
      </w:r>
    </w:p>
    <w:p w14:paraId="390F9752" w14:textId="77777777" w:rsidR="006602B6" w:rsidRPr="00567893" w:rsidRDefault="006602B6" w:rsidP="006B554D">
      <w:pPr>
        <w:widowControl w:val="0"/>
        <w:spacing w:line="240" w:lineRule="auto"/>
        <w:ind w:firstLine="0"/>
        <w:rPr>
          <w:b/>
          <w:bCs/>
          <w:i/>
          <w:iCs/>
          <w:sz w:val="24"/>
          <w:szCs w:val="22"/>
        </w:rPr>
      </w:pPr>
      <w:r w:rsidRPr="00567893">
        <w:rPr>
          <w:b/>
          <w:bCs/>
          <w:i/>
          <w:iCs/>
          <w:sz w:val="24"/>
          <w:szCs w:val="22"/>
        </w:rPr>
        <w:t>2.1.2. Foreign Direct Investment (FDI) Enterprises</w:t>
      </w:r>
    </w:p>
    <w:p w14:paraId="27A432FD" w14:textId="77777777" w:rsidR="006602B6" w:rsidRPr="00567893" w:rsidRDefault="006602B6" w:rsidP="006B554D">
      <w:pPr>
        <w:widowControl w:val="0"/>
        <w:spacing w:line="240" w:lineRule="auto"/>
        <w:rPr>
          <w:sz w:val="24"/>
          <w:szCs w:val="22"/>
        </w:rPr>
      </w:pPr>
      <w:r w:rsidRPr="00567893">
        <w:rPr>
          <w:sz w:val="24"/>
          <w:szCs w:val="22"/>
        </w:rPr>
        <w:t>According to the Law on Enterprises (2020), an enterprise is defined as “</w:t>
      </w:r>
      <w:r w:rsidRPr="00567893">
        <w:rPr>
          <w:i/>
          <w:iCs/>
          <w:sz w:val="24"/>
          <w:szCs w:val="22"/>
        </w:rPr>
        <w:t>an organization with its own name, assets, and business premises, established or registered in accordance with the law for the purpose of conducting business activities</w:t>
      </w:r>
      <w:r w:rsidRPr="00567893">
        <w:rPr>
          <w:sz w:val="24"/>
          <w:szCs w:val="22"/>
        </w:rPr>
        <w:t>.” The Law on Investment (2020) further specifies that an FDI enterprise is “</w:t>
      </w:r>
      <w:r w:rsidRPr="00567893">
        <w:rPr>
          <w:i/>
          <w:iCs/>
          <w:sz w:val="24"/>
          <w:szCs w:val="22"/>
        </w:rPr>
        <w:t>an economic organization with foreign investment capital, in which foreign investors are members or shareholders</w:t>
      </w:r>
      <w:r w:rsidRPr="00567893">
        <w:rPr>
          <w:sz w:val="24"/>
          <w:szCs w:val="22"/>
        </w:rPr>
        <w:t>” (Clause 22, Article 3).</w:t>
      </w:r>
    </w:p>
    <w:p w14:paraId="2A9B84DB" w14:textId="77777777" w:rsidR="006602B6" w:rsidRPr="00567893" w:rsidRDefault="006602B6" w:rsidP="006B554D">
      <w:pPr>
        <w:widowControl w:val="0"/>
        <w:spacing w:line="240" w:lineRule="auto"/>
        <w:rPr>
          <w:sz w:val="24"/>
          <w:szCs w:val="22"/>
        </w:rPr>
      </w:pPr>
      <w:r w:rsidRPr="00567893">
        <w:rPr>
          <w:sz w:val="24"/>
          <w:szCs w:val="22"/>
        </w:rPr>
        <w:t>The investment behavior of FDI enterprises refers to the investment activities of foreign investors in the host country, involving the transfer of capital, human resources, technology, and other resources to another country—one that offers favorable investment conditions, attractive investment policies, a stable business environment, transparent institutional mechanisms, and strong development potential—in order to develop production and business activities, expand markets, and increase profits.</w:t>
      </w:r>
    </w:p>
    <w:p w14:paraId="026A6051" w14:textId="6E7AD17A" w:rsidR="006602B6" w:rsidRPr="00567893" w:rsidRDefault="006602B6" w:rsidP="006B554D">
      <w:pPr>
        <w:widowControl w:val="0"/>
        <w:spacing w:line="240" w:lineRule="auto"/>
        <w:ind w:firstLine="0"/>
        <w:rPr>
          <w:b/>
          <w:bCs/>
          <w:i/>
          <w:iCs/>
          <w:sz w:val="24"/>
          <w:szCs w:val="22"/>
        </w:rPr>
      </w:pPr>
      <w:r w:rsidRPr="00567893">
        <w:rPr>
          <w:b/>
          <w:bCs/>
          <w:i/>
          <w:iCs/>
          <w:sz w:val="24"/>
          <w:szCs w:val="22"/>
        </w:rPr>
        <w:t>2.1.3. Corporate green investment behavior</w:t>
      </w:r>
    </w:p>
    <w:p w14:paraId="63FC79C3" w14:textId="3227C48A" w:rsidR="006602B6" w:rsidRPr="00567893" w:rsidRDefault="006602B6" w:rsidP="006B554D">
      <w:pPr>
        <w:widowControl w:val="0"/>
        <w:spacing w:line="240" w:lineRule="auto"/>
        <w:rPr>
          <w:sz w:val="24"/>
          <w:szCs w:val="22"/>
        </w:rPr>
      </w:pPr>
      <w:r w:rsidRPr="00567893">
        <w:rPr>
          <w:sz w:val="24"/>
          <w:szCs w:val="22"/>
        </w:rPr>
        <w:t>Corporate green investment behavior refers to the process by which enterprises make investment decisions based on environmental protection criteria and/or positive environmental impacts. Such investments include production and business activities aimed at reducing natural resource consumption and air emissions, as well as activities that generate green, environmentally friendly products and services.</w:t>
      </w:r>
    </w:p>
    <w:p w14:paraId="17FA9E78" w14:textId="372758C5" w:rsidR="0019117B" w:rsidRPr="00567893" w:rsidRDefault="0019117B"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2.2. </w:t>
      </w:r>
      <w:r w:rsidR="005220AB" w:rsidRPr="00567893">
        <w:rPr>
          <w:b/>
          <w:bCs/>
          <w:color w:val="000000" w:themeColor="text1"/>
          <w:sz w:val="24"/>
          <w:szCs w:val="22"/>
        </w:rPr>
        <w:t>Theoretical framework of green investment behavior of FDI enterprises</w:t>
      </w:r>
    </w:p>
    <w:p w14:paraId="04045950" w14:textId="2317DB9B" w:rsidR="005220AB" w:rsidRPr="00567893" w:rsidRDefault="005220AB"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 xml:space="preserve">2.2.1. Theoretical foundations of green investment behavior of FDI </w:t>
      </w:r>
      <w:r w:rsidRPr="00567893">
        <w:rPr>
          <w:b/>
          <w:bCs/>
          <w:i/>
          <w:iCs/>
          <w:color w:val="000000" w:themeColor="text1"/>
          <w:sz w:val="24"/>
          <w:szCs w:val="22"/>
        </w:rPr>
        <w:lastRenderedPageBreak/>
        <w:t>enterprises</w:t>
      </w:r>
    </w:p>
    <w:p w14:paraId="624CA5CF" w14:textId="7CE24903" w:rsidR="005220AB" w:rsidRPr="00567893" w:rsidRDefault="005220AB" w:rsidP="006B554D">
      <w:pPr>
        <w:widowControl w:val="0"/>
        <w:spacing w:line="240" w:lineRule="auto"/>
        <w:rPr>
          <w:color w:val="000000" w:themeColor="text1"/>
          <w:sz w:val="24"/>
          <w:szCs w:val="22"/>
        </w:rPr>
      </w:pPr>
      <w:r w:rsidRPr="00567893">
        <w:rPr>
          <w:color w:val="000000" w:themeColor="text1"/>
          <w:sz w:val="24"/>
          <w:szCs w:val="22"/>
        </w:rPr>
        <w:t>The research adopts an integrated theoretical perspective, drawing upon behavioral finance theory, socially responsible investment theory, institutional theory, and the resource-based view.</w:t>
      </w:r>
    </w:p>
    <w:p w14:paraId="6104C887" w14:textId="58AEDEB9" w:rsidR="005220AB" w:rsidRPr="00567893" w:rsidRDefault="005220AB"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2.2.2. Components of green investment behavior of FDI enterprises</w:t>
      </w:r>
    </w:p>
    <w:p w14:paraId="5059A4CF" w14:textId="77777777" w:rsidR="005220AB" w:rsidRPr="00567893" w:rsidRDefault="005220AB" w:rsidP="006B554D">
      <w:pPr>
        <w:widowControl w:val="0"/>
        <w:spacing w:line="240" w:lineRule="auto"/>
        <w:rPr>
          <w:color w:val="000000" w:themeColor="text1"/>
          <w:sz w:val="24"/>
          <w:szCs w:val="22"/>
        </w:rPr>
      </w:pPr>
      <w:r w:rsidRPr="00567893">
        <w:rPr>
          <w:i/>
          <w:iCs/>
          <w:color w:val="000000" w:themeColor="text1"/>
          <w:sz w:val="24"/>
          <w:szCs w:val="22"/>
        </w:rPr>
        <w:t xml:space="preserve">Green innovation investment behavior </w:t>
      </w:r>
      <w:r w:rsidRPr="00567893">
        <w:rPr>
          <w:color w:val="000000" w:themeColor="text1"/>
          <w:sz w:val="24"/>
          <w:szCs w:val="22"/>
        </w:rPr>
        <w:t>of FDI enterprises reflects the proactive allocation of resources to research, development, and the application of environmentally friendly technologies, processes, or products.</w:t>
      </w:r>
    </w:p>
    <w:p w14:paraId="1F79A231" w14:textId="77777777" w:rsidR="005220AB" w:rsidRPr="00567893" w:rsidRDefault="005220AB" w:rsidP="006B554D">
      <w:pPr>
        <w:widowControl w:val="0"/>
        <w:spacing w:line="240" w:lineRule="auto"/>
        <w:rPr>
          <w:color w:val="000000" w:themeColor="text1"/>
          <w:sz w:val="24"/>
          <w:szCs w:val="22"/>
        </w:rPr>
      </w:pPr>
      <w:r w:rsidRPr="00567893">
        <w:rPr>
          <w:i/>
          <w:iCs/>
          <w:color w:val="000000" w:themeColor="text1"/>
          <w:sz w:val="24"/>
          <w:szCs w:val="22"/>
        </w:rPr>
        <w:t>Green capability development investment behavior</w:t>
      </w:r>
      <w:r w:rsidRPr="00567893">
        <w:rPr>
          <w:color w:val="000000" w:themeColor="text1"/>
          <w:sz w:val="24"/>
          <w:szCs w:val="22"/>
        </w:rPr>
        <w:t xml:space="preserve"> of FDI enterprises represents a proactive and systematic strategy aimed at strengthening internal capacities in resource management, minimizing negative environmental impacts, and conducting production and business activities in a sustainable manner.</w:t>
      </w:r>
    </w:p>
    <w:p w14:paraId="4FAADD78" w14:textId="77777777" w:rsidR="005220AB" w:rsidRPr="00567893" w:rsidRDefault="005220AB" w:rsidP="006B554D">
      <w:pPr>
        <w:widowControl w:val="0"/>
        <w:spacing w:line="240" w:lineRule="auto"/>
        <w:rPr>
          <w:color w:val="000000" w:themeColor="text1"/>
          <w:sz w:val="24"/>
          <w:szCs w:val="22"/>
        </w:rPr>
      </w:pPr>
      <w:r w:rsidRPr="00567893">
        <w:rPr>
          <w:i/>
          <w:iCs/>
          <w:color w:val="000000" w:themeColor="text1"/>
          <w:sz w:val="24"/>
          <w:szCs w:val="22"/>
        </w:rPr>
        <w:t>Investment behavior in green human resource management (GHRM) practices</w:t>
      </w:r>
      <w:r w:rsidRPr="00567893">
        <w:rPr>
          <w:color w:val="000000" w:themeColor="text1"/>
          <w:sz w:val="24"/>
          <w:szCs w:val="22"/>
        </w:rPr>
        <w:t xml:space="preserve"> reflects a modern HRM strategy in which traditional human resource functions—such as recruitment, training, performance appraisal, and compensation—are integrated with environmental objectives and sustainable development goals.</w:t>
      </w:r>
    </w:p>
    <w:p w14:paraId="1DE07E44" w14:textId="77777777" w:rsidR="005220AB" w:rsidRPr="00567893" w:rsidRDefault="005220AB" w:rsidP="006B554D">
      <w:pPr>
        <w:widowControl w:val="0"/>
        <w:spacing w:line="240" w:lineRule="auto"/>
        <w:rPr>
          <w:color w:val="000000" w:themeColor="text1"/>
          <w:sz w:val="24"/>
          <w:szCs w:val="22"/>
        </w:rPr>
      </w:pPr>
      <w:r w:rsidRPr="00567893">
        <w:rPr>
          <w:i/>
          <w:iCs/>
          <w:color w:val="000000" w:themeColor="text1"/>
          <w:sz w:val="24"/>
          <w:szCs w:val="22"/>
        </w:rPr>
        <w:t>Investment behavior in green supply chain management (GSCM) practices</w:t>
      </w:r>
      <w:r w:rsidRPr="00567893">
        <w:rPr>
          <w:color w:val="000000" w:themeColor="text1"/>
          <w:sz w:val="24"/>
          <w:szCs w:val="22"/>
        </w:rPr>
        <w:t xml:space="preserve"> has increasingly emerged as a strategic management trend, particularly in the context of globalization aligned with sustainable development.</w:t>
      </w:r>
    </w:p>
    <w:p w14:paraId="0F963515" w14:textId="77777777" w:rsidR="005220AB" w:rsidRPr="00567893" w:rsidRDefault="005220AB" w:rsidP="006B554D">
      <w:pPr>
        <w:widowControl w:val="0"/>
        <w:spacing w:line="240" w:lineRule="auto"/>
        <w:rPr>
          <w:color w:val="000000" w:themeColor="text1"/>
          <w:sz w:val="24"/>
          <w:szCs w:val="22"/>
        </w:rPr>
      </w:pPr>
      <w:r w:rsidRPr="00567893">
        <w:rPr>
          <w:i/>
          <w:iCs/>
          <w:color w:val="000000" w:themeColor="text1"/>
          <w:sz w:val="24"/>
          <w:szCs w:val="22"/>
        </w:rPr>
        <w:t>Investment behavior in environmental corporate social responsibility (CSR) practices</w:t>
      </w:r>
      <w:r w:rsidRPr="00567893">
        <w:rPr>
          <w:color w:val="000000" w:themeColor="text1"/>
          <w:sz w:val="24"/>
          <w:szCs w:val="22"/>
        </w:rPr>
        <w:t xml:space="preserve"> reflects the enterprise’s commitment to minimizing adverse impacts on natural ecosystems through strategies and activities aimed at resource conservation, emission reduction, and the promotion of sustainable development.</w:t>
      </w:r>
    </w:p>
    <w:p w14:paraId="608E54A4" w14:textId="752805DA" w:rsidR="005220AB" w:rsidRPr="00567893" w:rsidRDefault="005220AB" w:rsidP="006B554D">
      <w:pPr>
        <w:widowControl w:val="0"/>
        <w:spacing w:line="240" w:lineRule="auto"/>
        <w:rPr>
          <w:color w:val="000000" w:themeColor="text1"/>
          <w:sz w:val="24"/>
          <w:szCs w:val="22"/>
        </w:rPr>
      </w:pPr>
      <w:r w:rsidRPr="00567893">
        <w:rPr>
          <w:i/>
          <w:iCs/>
          <w:color w:val="000000" w:themeColor="text1"/>
          <w:sz w:val="24"/>
          <w:szCs w:val="22"/>
        </w:rPr>
        <w:t xml:space="preserve">Investment behavior in community-oriented CSR practices </w:t>
      </w:r>
      <w:r w:rsidRPr="00567893">
        <w:rPr>
          <w:color w:val="000000" w:themeColor="text1"/>
          <w:sz w:val="24"/>
          <w:szCs w:val="22"/>
        </w:rPr>
        <w:t>demonstrates the commitment of FDI enterprises to making positive contributions to socio-economic development in the localities where they operate.</w:t>
      </w:r>
    </w:p>
    <w:p w14:paraId="167C540E" w14:textId="7CC6BE81" w:rsidR="00044EB9" w:rsidRPr="00567893" w:rsidRDefault="00044EB9"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2.2.3. Factors influencing green investment behavior of FDI enterprises</w:t>
      </w:r>
    </w:p>
    <w:p w14:paraId="420FF798" w14:textId="77777777" w:rsidR="00044EB9" w:rsidRPr="00567893" w:rsidRDefault="00044EB9" w:rsidP="006B554D">
      <w:pPr>
        <w:widowControl w:val="0"/>
        <w:spacing w:line="240" w:lineRule="auto"/>
        <w:rPr>
          <w:color w:val="000000" w:themeColor="text1"/>
          <w:sz w:val="24"/>
          <w:szCs w:val="22"/>
        </w:rPr>
      </w:pPr>
      <w:r w:rsidRPr="00567893">
        <w:rPr>
          <w:i/>
          <w:iCs/>
          <w:color w:val="000000" w:themeColor="text1"/>
          <w:sz w:val="24"/>
          <w:szCs w:val="22"/>
        </w:rPr>
        <w:t>Firm-level characteristics of FDI enterprises</w:t>
      </w:r>
      <w:r w:rsidRPr="00567893">
        <w:rPr>
          <w:color w:val="000000" w:themeColor="text1"/>
          <w:sz w:val="24"/>
          <w:szCs w:val="22"/>
        </w:rPr>
        <w:t xml:space="preserve"> influencing green investment behavior include ownership structure, the ownership share of the host country, firm age, brand strength and corporate reputation, financial capacity and resource endowments, sustainable development strategy, and managerial capabilities, including conflict management </w:t>
      </w:r>
      <w:r w:rsidRPr="00567893">
        <w:rPr>
          <w:color w:val="000000" w:themeColor="text1"/>
          <w:sz w:val="24"/>
          <w:szCs w:val="22"/>
        </w:rPr>
        <w:lastRenderedPageBreak/>
        <w:t>capacity.</w:t>
      </w:r>
    </w:p>
    <w:p w14:paraId="3051EE10" w14:textId="77777777" w:rsidR="00044EB9" w:rsidRPr="00567893" w:rsidRDefault="00044EB9" w:rsidP="006B554D">
      <w:pPr>
        <w:widowControl w:val="0"/>
        <w:spacing w:line="240" w:lineRule="auto"/>
        <w:rPr>
          <w:color w:val="000000" w:themeColor="text1"/>
          <w:sz w:val="24"/>
          <w:szCs w:val="22"/>
        </w:rPr>
      </w:pPr>
      <w:r w:rsidRPr="00567893">
        <w:rPr>
          <w:i/>
          <w:iCs/>
          <w:color w:val="000000" w:themeColor="text1"/>
          <w:sz w:val="24"/>
          <w:szCs w:val="22"/>
        </w:rPr>
        <w:t>Parent company–level characteristics</w:t>
      </w:r>
      <w:r w:rsidRPr="00567893">
        <w:rPr>
          <w:color w:val="000000" w:themeColor="text1"/>
          <w:sz w:val="24"/>
          <w:szCs w:val="22"/>
        </w:rPr>
        <w:t xml:space="preserve"> affecting the green investment behavior of FDI enterprises comprise sustainability awareness, technological development level, size and resource capacity of the parent company, historical background, brand image and reputation, and the degree of commitment to sustainable development objectives.</w:t>
      </w:r>
    </w:p>
    <w:p w14:paraId="431B932A" w14:textId="326F9534" w:rsidR="00044EB9" w:rsidRPr="00567893" w:rsidRDefault="00044EB9" w:rsidP="006B554D">
      <w:pPr>
        <w:widowControl w:val="0"/>
        <w:spacing w:line="240" w:lineRule="auto"/>
        <w:rPr>
          <w:color w:val="000000" w:themeColor="text1"/>
          <w:sz w:val="24"/>
          <w:szCs w:val="22"/>
        </w:rPr>
      </w:pPr>
      <w:r w:rsidRPr="00567893">
        <w:rPr>
          <w:i/>
          <w:iCs/>
          <w:color w:val="000000" w:themeColor="text1"/>
          <w:sz w:val="24"/>
          <w:szCs w:val="22"/>
        </w:rPr>
        <w:t>Host-country macro-environmental and industry-specific factors</w:t>
      </w:r>
      <w:r w:rsidRPr="00567893">
        <w:rPr>
          <w:color w:val="000000" w:themeColor="text1"/>
          <w:sz w:val="24"/>
          <w:szCs w:val="22"/>
        </w:rPr>
        <w:t xml:space="preserve"> include political and legal conditions, economic factors, socio-cultural characteristics, infrastructure and technological development, green consumption trends, market size and attractiveness, and the availability and quality of human resources.</w:t>
      </w:r>
    </w:p>
    <w:p w14:paraId="28AC4243" w14:textId="5861709E" w:rsidR="00B45F9D" w:rsidRPr="00567893" w:rsidRDefault="00B45F9D"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2.3. </w:t>
      </w:r>
      <w:r w:rsidR="00044EB9" w:rsidRPr="00567893">
        <w:rPr>
          <w:b/>
          <w:bCs/>
          <w:color w:val="000000" w:themeColor="text1"/>
          <w:sz w:val="24"/>
          <w:szCs w:val="22"/>
        </w:rPr>
        <w:t>Research model and hypotheses on the impact of green investment behavior on the performance of FDI enterprises</w:t>
      </w:r>
    </w:p>
    <w:p w14:paraId="01F4624B" w14:textId="51C459BE" w:rsidR="00044EB9" w:rsidRPr="00567893" w:rsidRDefault="00044EB9"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2.3.1. Basis for proposing the research model of green investment behavior of FDI enterprises</w:t>
      </w:r>
    </w:p>
    <w:p w14:paraId="1630F04E" w14:textId="16450626"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The research proposes the research model based on a selective synthesis of relevant published studies, including those by Siedschlag and Yan (2023), Chen and Ma (2021), Antonietti and Marzucchi (2014), and Le and Tham (2024).</w:t>
      </w:r>
    </w:p>
    <w:p w14:paraId="2E762E53" w14:textId="09EA0ED9" w:rsidR="00044EB9" w:rsidRPr="00567893" w:rsidRDefault="00044EB9"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2.3.2. Research model and hypotheses</w:t>
      </w:r>
    </w:p>
    <w:p w14:paraId="4FF44F71" w14:textId="3D552ED9" w:rsidR="004007BA" w:rsidRPr="00567893" w:rsidRDefault="00044EB9" w:rsidP="006B554D">
      <w:pPr>
        <w:widowControl w:val="0"/>
        <w:spacing w:line="240" w:lineRule="auto"/>
        <w:rPr>
          <w:color w:val="000000" w:themeColor="text1"/>
          <w:sz w:val="26"/>
        </w:rPr>
      </w:pPr>
      <w:r w:rsidRPr="00567893">
        <w:rPr>
          <w:color w:val="000000" w:themeColor="text1"/>
          <w:sz w:val="24"/>
          <w:szCs w:val="22"/>
        </w:rPr>
        <w:t>Building upon prior studies and incorporating appropriate adjustments and extensions to fit the research context, the dissertation proposes a research model and a set of hypotheses examining the impact of green investment behavior on the performance of FDI enterprises, as follows</w:t>
      </w:r>
      <w:r w:rsidRPr="00567893">
        <w:rPr>
          <w:color w:val="000000" w:themeColor="text1"/>
          <w:sz w:val="26"/>
        </w:rPr>
        <w:t>:</w:t>
      </w:r>
    </w:p>
    <w:p w14:paraId="44CBB602" w14:textId="68085DBF" w:rsidR="00044EB9" w:rsidRPr="00567893" w:rsidRDefault="004A6527" w:rsidP="006B554D">
      <w:pPr>
        <w:widowControl w:val="0"/>
        <w:spacing w:line="240" w:lineRule="auto"/>
        <w:ind w:firstLine="0"/>
        <w:rPr>
          <w:color w:val="000000" w:themeColor="text1"/>
          <w:sz w:val="26"/>
        </w:rPr>
      </w:pPr>
      <w:r w:rsidRPr="00567893">
        <w:rPr>
          <w:noProof/>
          <w:sz w:val="26"/>
        </w:rPr>
        <w:lastRenderedPageBreak/>
        <mc:AlternateContent>
          <mc:Choice Requires="wpg">
            <w:drawing>
              <wp:inline distT="0" distB="0" distL="0" distR="0" wp14:anchorId="240169B7" wp14:editId="7A8A9FD6">
                <wp:extent cx="3933825" cy="2809876"/>
                <wp:effectExtent l="0" t="0" r="28575" b="28575"/>
                <wp:docPr id="1277149865" name="Group 5"/>
                <wp:cNvGraphicFramePr/>
                <a:graphic xmlns:a="http://schemas.openxmlformats.org/drawingml/2006/main">
                  <a:graphicData uri="http://schemas.microsoft.com/office/word/2010/wordprocessingGroup">
                    <wpg:wgp>
                      <wpg:cNvGrpSpPr/>
                      <wpg:grpSpPr>
                        <a:xfrm>
                          <a:off x="0" y="0"/>
                          <a:ext cx="3933825" cy="2809876"/>
                          <a:chOff x="-217769" y="65565"/>
                          <a:chExt cx="6019770" cy="2578859"/>
                        </a:xfrm>
                      </wpg:grpSpPr>
                      <wps:wsp>
                        <wps:cNvPr id="661333281" name="Rectangle 1"/>
                        <wps:cNvSpPr/>
                        <wps:spPr>
                          <a:xfrm>
                            <a:off x="-217769" y="318022"/>
                            <a:ext cx="2389471" cy="232640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9D7A69" w14:textId="7EE30FA1" w:rsidR="004A6527" w:rsidRPr="004A6527" w:rsidRDefault="004A6527" w:rsidP="004A6527">
                              <w:pPr>
                                <w:spacing w:line="240" w:lineRule="auto"/>
                                <w:ind w:firstLine="0"/>
                                <w:jc w:val="center"/>
                                <w:rPr>
                                  <w:b/>
                                  <w:bCs/>
                                  <w:sz w:val="20"/>
                                  <w:szCs w:val="20"/>
                                </w:rPr>
                              </w:pPr>
                              <w:r w:rsidRPr="004A6527">
                                <w:rPr>
                                  <w:b/>
                                  <w:bCs/>
                                  <w:sz w:val="20"/>
                                  <w:szCs w:val="20"/>
                                </w:rPr>
                                <w:t>Green investment behavior of FDI enterprises</w:t>
                              </w:r>
                            </w:p>
                            <w:p w14:paraId="311F6CFC" w14:textId="77777777"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Green innovation investment</w:t>
                              </w:r>
                            </w:p>
                            <w:p w14:paraId="1DA4D69E" w14:textId="77777777"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Green capability development investment</w:t>
                              </w:r>
                            </w:p>
                            <w:p w14:paraId="57CA216C" w14:textId="375FC4AD"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 xml:space="preserve">Investment in </w:t>
                              </w:r>
                              <w:r>
                                <w:rPr>
                                  <w:rFonts w:ascii="Times New Roman" w:hAnsi="Times New Roman" w:cs="Times New Roman"/>
                                  <w:sz w:val="20"/>
                                  <w:szCs w:val="20"/>
                                </w:rPr>
                                <w:t xml:space="preserve">GHRM </w:t>
                              </w:r>
                              <w:r w:rsidRPr="004A6527">
                                <w:rPr>
                                  <w:rFonts w:ascii="Times New Roman" w:hAnsi="Times New Roman" w:cs="Times New Roman"/>
                                  <w:sz w:val="20"/>
                                  <w:szCs w:val="20"/>
                                </w:rPr>
                                <w:t>practices</w:t>
                              </w:r>
                            </w:p>
                            <w:p w14:paraId="007104A7" w14:textId="30301713"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 xml:space="preserve">Investment in </w:t>
                              </w:r>
                              <w:r>
                                <w:rPr>
                                  <w:rFonts w:ascii="Times New Roman" w:hAnsi="Times New Roman" w:cs="Times New Roman"/>
                                  <w:sz w:val="20"/>
                                  <w:szCs w:val="20"/>
                                </w:rPr>
                                <w:t xml:space="preserve">GSCM </w:t>
                              </w:r>
                              <w:r w:rsidRPr="004A6527">
                                <w:rPr>
                                  <w:rFonts w:ascii="Times New Roman" w:hAnsi="Times New Roman" w:cs="Times New Roman"/>
                                  <w:sz w:val="20"/>
                                  <w:szCs w:val="20"/>
                                </w:rPr>
                                <w:t>practices</w:t>
                              </w:r>
                            </w:p>
                            <w:p w14:paraId="0ACC3B09" w14:textId="1B6F3BDA"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 xml:space="preserve">Investment in environmental </w:t>
                              </w:r>
                              <w:r>
                                <w:rPr>
                                  <w:rFonts w:ascii="Times New Roman" w:hAnsi="Times New Roman" w:cs="Times New Roman"/>
                                  <w:sz w:val="20"/>
                                  <w:szCs w:val="20"/>
                                </w:rPr>
                                <w:t>CSR</w:t>
                              </w:r>
                            </w:p>
                            <w:p w14:paraId="6BBC2719" w14:textId="792B0719" w:rsidR="004A6527" w:rsidRPr="004A6527" w:rsidRDefault="004A6527" w:rsidP="003B7151">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Investment in community-oriented CSR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67505" name="Rectangle 2"/>
                        <wps:cNvSpPr/>
                        <wps:spPr>
                          <a:xfrm>
                            <a:off x="4505327" y="1190625"/>
                            <a:ext cx="1296674"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34DAB3" w14:textId="7DFD250A" w:rsidR="004A6527" w:rsidRPr="004A6527" w:rsidRDefault="004A6527" w:rsidP="004A6527">
                              <w:pPr>
                                <w:spacing w:line="240" w:lineRule="auto"/>
                                <w:ind w:firstLine="0"/>
                                <w:jc w:val="center"/>
                                <w:rPr>
                                  <w:b/>
                                  <w:bCs/>
                                  <w:sz w:val="20"/>
                                  <w:szCs w:val="20"/>
                                </w:rPr>
                              </w:pPr>
                              <w:r w:rsidRPr="004A6527">
                                <w:rPr>
                                  <w:b/>
                                  <w:bCs/>
                                  <w:sz w:val="20"/>
                                  <w:szCs w:val="20"/>
                                </w:rPr>
                                <w:t>Performance of FDI Enterprises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905401266" name="Straight Arrow Connector 3"/>
                        <wps:cNvCnPr/>
                        <wps:spPr>
                          <a:xfrm>
                            <a:off x="2171700" y="1657350"/>
                            <a:ext cx="2324100" cy="0"/>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39594080" name="Rectangle 2"/>
                        <wps:cNvSpPr/>
                        <wps:spPr>
                          <a:xfrm>
                            <a:off x="2639069" y="65565"/>
                            <a:ext cx="1442995" cy="877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B6DF2C" w14:textId="129EA749" w:rsidR="004A6527" w:rsidRPr="004A6527" w:rsidRDefault="004A6527" w:rsidP="004A6527">
                              <w:pPr>
                                <w:spacing w:line="240" w:lineRule="auto"/>
                                <w:ind w:firstLine="0"/>
                                <w:jc w:val="center"/>
                                <w:rPr>
                                  <w:b/>
                                  <w:bCs/>
                                  <w:sz w:val="20"/>
                                  <w:szCs w:val="20"/>
                                </w:rPr>
                              </w:pPr>
                              <w:r w:rsidRPr="004A6527">
                                <w:rPr>
                                  <w:b/>
                                  <w:bCs/>
                                  <w:sz w:val="20"/>
                                  <w:szCs w:val="20"/>
                                </w:rPr>
                                <w:t>Green Development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095305" name="Straight Arrow Connector 4"/>
                        <wps:cNvCnPr/>
                        <wps:spPr>
                          <a:xfrm>
                            <a:off x="3352800" y="952500"/>
                            <a:ext cx="0" cy="695325"/>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543052944" name="Rectangle 2"/>
                        <wps:cNvSpPr/>
                        <wps:spPr>
                          <a:xfrm>
                            <a:off x="2244698" y="1704613"/>
                            <a:ext cx="2230912" cy="295276"/>
                          </a:xfrm>
                          <a:prstGeom prst="rect">
                            <a:avLst/>
                          </a:prstGeom>
                          <a:noFill/>
                          <a:ln w="12700" cap="flat" cmpd="sng" algn="ctr">
                            <a:noFill/>
                            <a:prstDash val="solid"/>
                            <a:miter lim="800000"/>
                          </a:ln>
                          <a:effectLst/>
                        </wps:spPr>
                        <wps:txbx>
                          <w:txbxContent>
                            <w:p w14:paraId="3C9C3BCE" w14:textId="77777777" w:rsidR="004A6527" w:rsidRPr="004A6527" w:rsidRDefault="004A6527" w:rsidP="004A6527">
                              <w:pPr>
                                <w:spacing w:line="240" w:lineRule="auto"/>
                                <w:ind w:firstLine="0"/>
                                <w:rPr>
                                  <w:sz w:val="20"/>
                                  <w:szCs w:val="20"/>
                                </w:rPr>
                              </w:pPr>
                              <w:r w:rsidRPr="004A6527">
                                <w:rPr>
                                  <w:sz w:val="20"/>
                                  <w:szCs w:val="20"/>
                                </w:rPr>
                                <w:t>H1, H2, H3, H4, H5, 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736469" name="Rectangle 2"/>
                        <wps:cNvSpPr/>
                        <wps:spPr>
                          <a:xfrm>
                            <a:off x="3288285" y="1104896"/>
                            <a:ext cx="545993" cy="295276"/>
                          </a:xfrm>
                          <a:prstGeom prst="rect">
                            <a:avLst/>
                          </a:prstGeom>
                          <a:noFill/>
                          <a:ln w="12700" cap="flat" cmpd="sng" algn="ctr">
                            <a:noFill/>
                            <a:prstDash val="solid"/>
                            <a:miter lim="800000"/>
                          </a:ln>
                          <a:effectLst/>
                        </wps:spPr>
                        <wps:txbx>
                          <w:txbxContent>
                            <w:p w14:paraId="50AF16BE" w14:textId="77777777" w:rsidR="004A6527" w:rsidRPr="004A6527" w:rsidRDefault="004A6527" w:rsidP="004A6527">
                              <w:pPr>
                                <w:ind w:firstLine="0"/>
                                <w:jc w:val="center"/>
                                <w:rPr>
                                  <w:sz w:val="20"/>
                                  <w:szCs w:val="20"/>
                                </w:rPr>
                              </w:pPr>
                              <w:r w:rsidRPr="004A6527">
                                <w:rPr>
                                  <w:sz w:val="20"/>
                                  <w:szCs w:val="20"/>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5" o:spid="_x0000_s1026" style="width:309.75pt;height:221.25pt;mso-position-horizontal-relative:char;mso-position-vertical-relative:line" coordorigin="-2177,655" coordsize="60197,2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">
                <v:rect id="Rectangle 1" o:spid="_x0000_s1027" style="position:absolute;left:-2177;top:3180;width:23894;height:2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d1skA&#10;AADiAAAADwAAAGRycy9kb3ducmV2LnhtbESPwWrDMBBE74X+g9hCbo3sGEziRgmhUAiBHuomPS/W&#10;xjKxVsZSHDVfXxUKPQ4z84ZZb6PtxUSj7xwryOcZCOLG6Y5bBcfPt+clCB+QNfaOScE3edhuHh/W&#10;WGl34w+a6tCKBGFfoQITwlBJ6RtDFv3cDcTJO7vRYkhybKUe8ZbgtpeLLCulxY7TgsGBXg01l/pq&#10;FRz8/To12r9HE81+dfrK7jVflJo9xd0LiEAx/If/2nutoCzzoigWyxx+L6U7ID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Hsd1skAAADiAAAADwAAAAAAAAAAAAAAAACYAgAA&#10;ZHJzL2Rvd25yZXYueG1sUEsFBgAAAAAEAAQA9QAAAI4DAAAAAA==&#10;" fillcolor="window" strokecolor="windowText" strokeweight="1pt">
                  <v:textbox>
                    <w:txbxContent>
                      <w:p w14:paraId="629D7A69" w14:textId="7EE30FA1" w:rsidR="004A6527" w:rsidRPr="004A6527" w:rsidRDefault="004A6527" w:rsidP="004A6527">
                        <w:pPr>
                          <w:spacing w:line="240" w:lineRule="auto"/>
                          <w:ind w:firstLine="0"/>
                          <w:jc w:val="center"/>
                          <w:rPr>
                            <w:b/>
                            <w:bCs/>
                            <w:sz w:val="20"/>
                            <w:szCs w:val="20"/>
                          </w:rPr>
                        </w:pPr>
                        <w:r w:rsidRPr="004A6527">
                          <w:rPr>
                            <w:b/>
                            <w:bCs/>
                            <w:sz w:val="20"/>
                            <w:szCs w:val="20"/>
                          </w:rPr>
                          <w:t>Green investment behavior of FDI enterprises</w:t>
                        </w:r>
                      </w:p>
                      <w:p w14:paraId="311F6CFC" w14:textId="77777777"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Green innovation investment</w:t>
                        </w:r>
                      </w:p>
                      <w:p w14:paraId="1DA4D69E" w14:textId="77777777"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Green capability development investment</w:t>
                        </w:r>
                      </w:p>
                      <w:p w14:paraId="57CA216C" w14:textId="375FC4AD"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 xml:space="preserve">Investment in </w:t>
                        </w:r>
                        <w:r>
                          <w:rPr>
                            <w:rFonts w:ascii="Times New Roman" w:hAnsi="Times New Roman" w:cs="Times New Roman"/>
                            <w:sz w:val="20"/>
                            <w:szCs w:val="20"/>
                          </w:rPr>
                          <w:t xml:space="preserve">GHRM </w:t>
                        </w:r>
                        <w:r w:rsidRPr="004A6527">
                          <w:rPr>
                            <w:rFonts w:ascii="Times New Roman" w:hAnsi="Times New Roman" w:cs="Times New Roman"/>
                            <w:sz w:val="20"/>
                            <w:szCs w:val="20"/>
                          </w:rPr>
                          <w:t>practices</w:t>
                        </w:r>
                      </w:p>
                      <w:p w14:paraId="007104A7" w14:textId="30301713"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 xml:space="preserve">Investment in </w:t>
                        </w:r>
                        <w:r>
                          <w:rPr>
                            <w:rFonts w:ascii="Times New Roman" w:hAnsi="Times New Roman" w:cs="Times New Roman"/>
                            <w:sz w:val="20"/>
                            <w:szCs w:val="20"/>
                          </w:rPr>
                          <w:t xml:space="preserve">GSCM </w:t>
                        </w:r>
                        <w:r w:rsidRPr="004A6527">
                          <w:rPr>
                            <w:rFonts w:ascii="Times New Roman" w:hAnsi="Times New Roman" w:cs="Times New Roman"/>
                            <w:sz w:val="20"/>
                            <w:szCs w:val="20"/>
                          </w:rPr>
                          <w:t>practices</w:t>
                        </w:r>
                      </w:p>
                      <w:p w14:paraId="0ACC3B09" w14:textId="1B6F3BDA" w:rsidR="004A6527" w:rsidRPr="004A6527" w:rsidRDefault="004A6527" w:rsidP="004A6527">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 xml:space="preserve">Investment in environmental </w:t>
                        </w:r>
                        <w:r>
                          <w:rPr>
                            <w:rFonts w:ascii="Times New Roman" w:hAnsi="Times New Roman" w:cs="Times New Roman"/>
                            <w:sz w:val="20"/>
                            <w:szCs w:val="20"/>
                          </w:rPr>
                          <w:t>CSR</w:t>
                        </w:r>
                      </w:p>
                      <w:p w14:paraId="6BBC2719" w14:textId="792B0719" w:rsidR="004A6527" w:rsidRPr="004A6527" w:rsidRDefault="004A6527" w:rsidP="003B7151">
                        <w:pPr>
                          <w:pStyle w:val="ListParagraph"/>
                          <w:numPr>
                            <w:ilvl w:val="0"/>
                            <w:numId w:val="4"/>
                          </w:numPr>
                          <w:spacing w:after="160" w:line="240" w:lineRule="auto"/>
                          <w:ind w:left="180" w:hanging="180"/>
                          <w:jc w:val="left"/>
                          <w:rPr>
                            <w:rFonts w:ascii="Times New Roman" w:hAnsi="Times New Roman" w:cs="Times New Roman"/>
                            <w:sz w:val="20"/>
                            <w:szCs w:val="20"/>
                          </w:rPr>
                        </w:pPr>
                        <w:r w:rsidRPr="004A6527">
                          <w:rPr>
                            <w:rFonts w:ascii="Times New Roman" w:hAnsi="Times New Roman" w:cs="Times New Roman"/>
                            <w:sz w:val="20"/>
                            <w:szCs w:val="20"/>
                          </w:rPr>
                          <w:t>Investment in community-oriented CSR practices</w:t>
                        </w:r>
                      </w:p>
                    </w:txbxContent>
                  </v:textbox>
                </v:rect>
                <v:rect id="Rectangle 2" o:spid="_x0000_s1028" style="position:absolute;left:45053;top:11906;width:12967;height:9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BtqsoA&#10;AADhAAAADwAAAGRycy9kb3ducmV2LnhtbESPT2vCQBTE70K/w/IKXqTZVNS2qauIf0B6arWX3B7Z&#10;ZxKbfRt2V41++q5Q6HGYmd8w03lnGnEm52vLCp6TFARxYXXNpYLv/ebpFYQPyBoby6TgSh7ms4fe&#10;FDNtL/xF510oRYSwz1BBFUKbSemLigz6xLbE0TtYZzBE6UqpHV4i3DRymKYTabDmuFBhS8uKip/d&#10;ySiQxw8eHFc08J/yoPe3vF0vXK5U/7FbvIMI1IX/8F97qxW8jUaTl3E6hvuj+Abk7B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PAbarKAAAA4QAAAA8AAAAAAAAAAAAAAAAAmAIA&#10;AGRycy9kb3ducmV2LnhtbFBLBQYAAAAABAAEAPUAAACPAwAAAAA=&#10;" fillcolor="window" strokecolor="windowText" strokeweight="1pt">
                  <v:textbox inset="0,,0">
                    <w:txbxContent>
                      <w:p w14:paraId="2C34DAB3" w14:textId="7DFD250A" w:rsidR="004A6527" w:rsidRPr="004A6527" w:rsidRDefault="004A6527" w:rsidP="004A6527">
                        <w:pPr>
                          <w:spacing w:line="240" w:lineRule="auto"/>
                          <w:ind w:firstLine="0"/>
                          <w:jc w:val="center"/>
                          <w:rPr>
                            <w:b/>
                            <w:bCs/>
                            <w:sz w:val="20"/>
                            <w:szCs w:val="20"/>
                          </w:rPr>
                        </w:pPr>
                        <w:r w:rsidRPr="004A6527">
                          <w:rPr>
                            <w:b/>
                            <w:bCs/>
                            <w:sz w:val="20"/>
                            <w:szCs w:val="20"/>
                          </w:rPr>
                          <w:t>Performance of FDI Enterprises</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1717;top:16573;width:23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txMkAAADiAAAADwAAAGRycy9kb3ducmV2LnhtbESPX0vDQBDE3wW/w7GCb/auwQaNvRbR&#10;Cj6VWi2+LrnNH5rbC7ltE7+9VxB8HGbmN8xyPflOnWmIbWAL85kBRVwG13Jt4evz7e4BVBRkh11g&#10;svBDEdar66slFi6M/EHnvdQqQTgWaKER6QutY9mQxzgLPXHyqjB4lCSHWrsBxwT3nc6MybXHltNC&#10;gz29NFQe9ydv4dBn33I8VBjldcwWu+1m2lXG2tub6fkJlNAk/+G/9ruz8GgW92ae5TlcLqU7oF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tTrcTJAAAA4gAAAA8AAAAA&#10;AAAAAAAAAAAAoQIAAGRycy9kb3ducmV2LnhtbFBLBQYAAAAABAAEAPkAAACXAwAAAAA=&#10;" filled="t" fillcolor="window" strokecolor="windowText" strokeweight="1pt">
                  <v:stroke endarrow="block" joinstyle="miter"/>
                </v:shape>
                <v:rect id="Rectangle 2" o:spid="_x0000_s1030" style="position:absolute;left:26390;top:655;width:14430;height:8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Fh8gA&#10;AADiAAAADwAAAGRycy9kb3ducmV2LnhtbESPzWoCMRSF94W+Q7iF7mrSVsWZGqUIghRcOLZdXya3&#10;k8HJzTCJY+rTm0Why8P541uuk+vESENoPWt4nigQxLU3LTcaPo/bpwWIEJENdp5Jwy8FWK/u75ZY&#10;Gn/hA41VbEQe4VCiBhtjX0oZaksOw8T3xNn78YPDmOXQSDPgJY+7Tr4oNZcOW84PFnvaWKpP1dlp&#10;+AjX81ibsE822V3x9a2uFZ+0fnxI728gIqX4H/5r74yG6WsxK6ZqkSEyUsYBu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pEWHyAAAAOIAAAAPAAAAAAAAAAAAAAAAAJgCAABk&#10;cnMvZG93bnJldi54bWxQSwUGAAAAAAQABAD1AAAAjQMAAAAA&#10;" fillcolor="window" strokecolor="windowText" strokeweight="1pt">
                  <v:textbox>
                    <w:txbxContent>
                      <w:p w14:paraId="02B6DF2C" w14:textId="129EA749" w:rsidR="004A6527" w:rsidRPr="004A6527" w:rsidRDefault="004A6527" w:rsidP="004A6527">
                        <w:pPr>
                          <w:spacing w:line="240" w:lineRule="auto"/>
                          <w:ind w:firstLine="0"/>
                          <w:jc w:val="center"/>
                          <w:rPr>
                            <w:b/>
                            <w:bCs/>
                            <w:sz w:val="20"/>
                            <w:szCs w:val="20"/>
                          </w:rPr>
                        </w:pPr>
                        <w:r w:rsidRPr="004A6527">
                          <w:rPr>
                            <w:b/>
                            <w:bCs/>
                            <w:sz w:val="20"/>
                            <w:szCs w:val="20"/>
                          </w:rPr>
                          <w:t>Green Development Policies</w:t>
                        </w:r>
                      </w:p>
                    </w:txbxContent>
                  </v:textbox>
                </v:rect>
                <v:shape id="Straight Arrow Connector 4" o:spid="_x0000_s1031" type="#_x0000_t32" style="position:absolute;left:33528;top:9525;width:0;height:6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da8kAAADiAAAADwAAAGRycy9kb3ducmV2LnhtbESPW0vDQBSE3wX/w3IE3+yu0QQbuy3i&#10;BXySWlt8PWRPLjR7NmSPTfz3riD4OMzMN8xqM/tenWiMXWAL1wsDirgKruPGwv7j5eoOVBRkh31g&#10;svBNETbr87MVli5M/E6nnTQqQTiWaKEVGUqtY9WSx7gIA3Hy6jB6lCTHRrsRpwT3vc6MKbTHjtNC&#10;iwM9tlQdd1/ewmHIPuV4qDHK05Tl27fneVsbay8v5od7UEKz/If/2q/Owm1RmGV+Y3L4vZTugF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4j3WvJAAAA4gAAAA8AAAAA&#10;AAAAAAAAAAAAoQIAAGRycy9kb3ducmV2LnhtbFBLBQYAAAAABAAEAPkAAACXAwAAAAA=&#10;" filled="t" fillcolor="window" strokecolor="windowText" strokeweight="1pt">
                  <v:stroke endarrow="block" joinstyle="miter"/>
                </v:shape>
                <v:rect id="Rectangle 2" o:spid="_x0000_s1032" style="position:absolute;left:22446;top:17046;width:22310;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Y68oA&#10;AADiAAAADwAAAGRycy9kb3ducmV2LnhtbESPQUsDMRSE7wX/Q3iF3my2dSt1bVpUKCo9iFXvz+R1&#10;d3HzsiTp7vbfNwWhx2FmvmFWm8E2oiMfascKZtMMBLF2puZSwffX9nYJIkRkg41jUnCiAJv1zWiF&#10;hXE9f1K3j6VIEA4FKqhibAspg67IYpi6ljh5B+ctxiR9KY3HPsFtI+dZdi8t1pwWKmzppSL9tz9a&#10;BT/u8Nxb/cvv3emjPr7uvNbLnVKT8fD0CCLSEK/h//abUbDI77LF/CHP4XIp3QG5P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fAGOvKAAAA4gAAAA8AAAAAAAAAAAAAAAAAmAIA&#10;AGRycy9kb3ducmV2LnhtbFBLBQYAAAAABAAEAPUAAACPAwAAAAA=&#10;" filled="f" stroked="f" strokeweight="1pt">
                  <v:textbox>
                    <w:txbxContent>
                      <w:p w14:paraId="3C9C3BCE" w14:textId="77777777" w:rsidR="004A6527" w:rsidRPr="004A6527" w:rsidRDefault="004A6527" w:rsidP="004A6527">
                        <w:pPr>
                          <w:spacing w:line="240" w:lineRule="auto"/>
                          <w:ind w:firstLine="0"/>
                          <w:rPr>
                            <w:sz w:val="20"/>
                            <w:szCs w:val="20"/>
                          </w:rPr>
                        </w:pPr>
                        <w:r w:rsidRPr="004A6527">
                          <w:rPr>
                            <w:sz w:val="20"/>
                            <w:szCs w:val="20"/>
                          </w:rPr>
                          <w:t>H1, H2, H3, H4, H5, H6</w:t>
                        </w:r>
                      </w:p>
                    </w:txbxContent>
                  </v:textbox>
                </v:rect>
                <v:rect id="Rectangle 2" o:spid="_x0000_s1033" style="position:absolute;left:32882;top:11048;width:5460;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CUcsA&#10;AADjAAAADwAAAGRycy9kb3ducmV2LnhtbESPQUvDQBSE70L/w/IK3uwmVdI2dltUEJUeilXvz93X&#10;JJh9G3a3SfrvXaHgcZiZb5j1drSt6MmHxrGCfJaBINbONFwp+Px4vlmCCBHZYOuYFJwpwHYzuVpj&#10;adzA79QfYiUShEOJCuoYu1LKoGuyGGauI07e0XmLMUlfSeNxSHDbynmWFdJiw2mhxo6eatI/h5NV&#10;8OWOj4PV3/zWn/fN6WXntV7ulLqejg/3ICKN8T98ab8aBfM8Xy1ui7tiBX+f0h+Qm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YUJRywAAAOMAAAAPAAAAAAAAAAAAAAAAAJgC&#10;AABkcnMvZG93bnJldi54bWxQSwUGAAAAAAQABAD1AAAAkAMAAAAA&#10;" filled="f" stroked="f" strokeweight="1pt">
                  <v:textbox>
                    <w:txbxContent>
                      <w:p w14:paraId="50AF16BE" w14:textId="77777777" w:rsidR="004A6527" w:rsidRPr="004A6527" w:rsidRDefault="004A6527" w:rsidP="004A6527">
                        <w:pPr>
                          <w:ind w:firstLine="0"/>
                          <w:jc w:val="center"/>
                          <w:rPr>
                            <w:sz w:val="20"/>
                            <w:szCs w:val="20"/>
                          </w:rPr>
                        </w:pPr>
                        <w:r w:rsidRPr="004A6527">
                          <w:rPr>
                            <w:sz w:val="20"/>
                            <w:szCs w:val="20"/>
                          </w:rPr>
                          <w:t>H7</w:t>
                        </w:r>
                      </w:p>
                    </w:txbxContent>
                  </v:textbox>
                </v:rect>
                <w10:anchorlock/>
              </v:group>
            </w:pict>
          </mc:Fallback>
        </mc:AlternateContent>
      </w:r>
    </w:p>
    <w:p w14:paraId="5C52D58E" w14:textId="72BA30BA" w:rsidR="00044EB9" w:rsidRPr="00567893" w:rsidRDefault="00044EB9" w:rsidP="006B554D">
      <w:pPr>
        <w:widowControl w:val="0"/>
        <w:spacing w:line="240" w:lineRule="auto"/>
        <w:ind w:firstLine="0"/>
        <w:jc w:val="center"/>
        <w:rPr>
          <w:b/>
          <w:bCs/>
          <w:i/>
          <w:iCs/>
          <w:color w:val="000000" w:themeColor="text1"/>
          <w:sz w:val="26"/>
        </w:rPr>
      </w:pPr>
      <w:r w:rsidRPr="00567893">
        <w:rPr>
          <w:b/>
          <w:bCs/>
          <w:i/>
          <w:iCs/>
          <w:color w:val="000000" w:themeColor="text1"/>
          <w:sz w:val="26"/>
        </w:rPr>
        <w:t>Figure 2.5: Proposed theoretical research model</w:t>
      </w:r>
    </w:p>
    <w:p w14:paraId="197F2112" w14:textId="77777777"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 xml:space="preserve">Hypothesis H1: </w:t>
      </w:r>
      <w:r w:rsidRPr="00567893">
        <w:rPr>
          <w:i/>
          <w:iCs/>
          <w:color w:val="000000" w:themeColor="text1"/>
          <w:sz w:val="24"/>
          <w:szCs w:val="22"/>
        </w:rPr>
        <w:t>Green innovation investment behavior of FDI enterprises has a positive impact on firm performance.</w:t>
      </w:r>
    </w:p>
    <w:p w14:paraId="395BD217" w14:textId="77777777"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 xml:space="preserve">Hypothesis H2: </w:t>
      </w:r>
      <w:r w:rsidRPr="00567893">
        <w:rPr>
          <w:i/>
          <w:iCs/>
          <w:color w:val="000000" w:themeColor="text1"/>
          <w:sz w:val="24"/>
          <w:szCs w:val="22"/>
        </w:rPr>
        <w:t>Green capability development investment behavior of FDI enterprises has a positive impact on firm performance.</w:t>
      </w:r>
    </w:p>
    <w:p w14:paraId="5A8123D2" w14:textId="7D36EBDD"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 xml:space="preserve">Hypothesis H3: </w:t>
      </w:r>
      <w:r w:rsidRPr="00567893">
        <w:rPr>
          <w:i/>
          <w:iCs/>
          <w:color w:val="000000" w:themeColor="text1"/>
          <w:sz w:val="24"/>
          <w:szCs w:val="22"/>
        </w:rPr>
        <w:t>Investment behavior in GHRM practices of FDI enterprises has a positive impact on firm performance.</w:t>
      </w:r>
    </w:p>
    <w:p w14:paraId="1302F81C" w14:textId="6A79EA65"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 xml:space="preserve">Hypothesis H4: </w:t>
      </w:r>
      <w:r w:rsidRPr="00567893">
        <w:rPr>
          <w:i/>
          <w:iCs/>
          <w:color w:val="000000" w:themeColor="text1"/>
          <w:sz w:val="24"/>
          <w:szCs w:val="22"/>
        </w:rPr>
        <w:t>Investment behavior in GSCM practices of FDI enterprises has a positive impact on firm performance.</w:t>
      </w:r>
    </w:p>
    <w:p w14:paraId="1A124B34" w14:textId="6F7877BB"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 xml:space="preserve">Hypothesis H5: </w:t>
      </w:r>
      <w:r w:rsidRPr="00567893">
        <w:rPr>
          <w:i/>
          <w:iCs/>
          <w:color w:val="000000" w:themeColor="text1"/>
          <w:sz w:val="24"/>
          <w:szCs w:val="22"/>
        </w:rPr>
        <w:t>Investment behavior in CSR practices toward the community of FDI enterprises has a positive impact on firm performance.</w:t>
      </w:r>
    </w:p>
    <w:p w14:paraId="6A501894" w14:textId="371380C7" w:rsidR="00044EB9" w:rsidRPr="00567893" w:rsidRDefault="00044EB9" w:rsidP="006B554D">
      <w:pPr>
        <w:widowControl w:val="0"/>
        <w:spacing w:line="240" w:lineRule="auto"/>
        <w:rPr>
          <w:color w:val="000000" w:themeColor="text1"/>
          <w:sz w:val="24"/>
          <w:szCs w:val="22"/>
        </w:rPr>
      </w:pPr>
      <w:r w:rsidRPr="00567893">
        <w:rPr>
          <w:color w:val="000000" w:themeColor="text1"/>
          <w:sz w:val="24"/>
          <w:szCs w:val="22"/>
        </w:rPr>
        <w:t xml:space="preserve">Hypothesis H6: </w:t>
      </w:r>
      <w:r w:rsidRPr="00567893">
        <w:rPr>
          <w:i/>
          <w:iCs/>
          <w:color w:val="000000" w:themeColor="text1"/>
          <w:sz w:val="24"/>
          <w:szCs w:val="22"/>
        </w:rPr>
        <w:t>Investment behavior in CSR practices toward the environment of FDI enterprises has a positive impact on firm performance.</w:t>
      </w:r>
    </w:p>
    <w:p w14:paraId="294EFAE0" w14:textId="2F009245" w:rsidR="00044EB9" w:rsidRPr="00567893" w:rsidRDefault="00044EB9" w:rsidP="006B554D">
      <w:pPr>
        <w:widowControl w:val="0"/>
        <w:spacing w:line="240" w:lineRule="auto"/>
        <w:rPr>
          <w:i/>
          <w:iCs/>
          <w:color w:val="000000" w:themeColor="text1"/>
          <w:sz w:val="24"/>
          <w:szCs w:val="22"/>
        </w:rPr>
      </w:pPr>
      <w:r w:rsidRPr="00567893">
        <w:rPr>
          <w:color w:val="000000" w:themeColor="text1"/>
          <w:sz w:val="24"/>
          <w:szCs w:val="22"/>
        </w:rPr>
        <w:t xml:space="preserve">Hypothesis H7: </w:t>
      </w:r>
      <w:r w:rsidRPr="00567893">
        <w:rPr>
          <w:i/>
          <w:iCs/>
          <w:color w:val="000000" w:themeColor="text1"/>
          <w:sz w:val="24"/>
          <w:szCs w:val="22"/>
        </w:rPr>
        <w:t>Government green development policies moderate the relationship between green investment behavior of FDI enterprises and firm performance.</w:t>
      </w:r>
    </w:p>
    <w:p w14:paraId="71255F4A" w14:textId="318006BF" w:rsidR="004A6527" w:rsidRPr="00567893" w:rsidRDefault="004A6527" w:rsidP="006B554D">
      <w:pPr>
        <w:widowControl w:val="0"/>
        <w:spacing w:line="240" w:lineRule="auto"/>
        <w:ind w:firstLine="0"/>
        <w:rPr>
          <w:b/>
          <w:bCs/>
          <w:i/>
          <w:iCs/>
          <w:sz w:val="24"/>
          <w:szCs w:val="22"/>
        </w:rPr>
      </w:pPr>
      <w:r w:rsidRPr="00567893">
        <w:rPr>
          <w:b/>
          <w:bCs/>
          <w:i/>
          <w:iCs/>
          <w:sz w:val="24"/>
          <w:szCs w:val="22"/>
        </w:rPr>
        <w:t>2.3.3. Development of the measurement scales</w:t>
      </w:r>
    </w:p>
    <w:p w14:paraId="2FD84088" w14:textId="52BE064C" w:rsidR="004A6527" w:rsidRPr="00567893" w:rsidRDefault="004A6527" w:rsidP="006B554D">
      <w:pPr>
        <w:widowControl w:val="0"/>
        <w:spacing w:line="240" w:lineRule="auto"/>
        <w:rPr>
          <w:sz w:val="24"/>
          <w:szCs w:val="22"/>
        </w:rPr>
      </w:pPr>
      <w:r w:rsidRPr="00567893">
        <w:rPr>
          <w:sz w:val="24"/>
          <w:szCs w:val="22"/>
        </w:rPr>
        <w:t xml:space="preserve">Based on a synthesis of prior studies on the topic, the dissertation develops a measurement scale comprising 26 observed variables representing six independent variables corresponding to the green investment behaviors of FDI enterprises, four observed variables </w:t>
      </w:r>
      <w:r w:rsidRPr="00567893">
        <w:rPr>
          <w:sz w:val="24"/>
          <w:szCs w:val="22"/>
        </w:rPr>
        <w:lastRenderedPageBreak/>
        <w:t>measuring the moderating variable of government green development policies, and five observed variables capturing the dependent variable of FDI enterprise performance.</w:t>
      </w:r>
    </w:p>
    <w:p w14:paraId="177DF85B" w14:textId="5C7C4F8B" w:rsidR="00562C4A" w:rsidRPr="00567893" w:rsidRDefault="00562C4A"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2.4. </w:t>
      </w:r>
      <w:r w:rsidR="004A6527" w:rsidRPr="00567893">
        <w:rPr>
          <w:b/>
          <w:bCs/>
          <w:color w:val="000000" w:themeColor="text1"/>
          <w:sz w:val="24"/>
          <w:szCs w:val="22"/>
        </w:rPr>
        <w:t>Experiences in green investment behavior of selected FDI enterprises worldwide and lessons for Vietnam</w:t>
      </w:r>
    </w:p>
    <w:p w14:paraId="28FE1BC3" w14:textId="6E81D043" w:rsidR="004A6527" w:rsidRPr="00567893" w:rsidRDefault="004A6527"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2.4.1. Experiences in green investment behavior of selected FDI enterprises</w:t>
      </w:r>
    </w:p>
    <w:p w14:paraId="214C5E69" w14:textId="1BC26C5C" w:rsidR="004A6527" w:rsidRPr="00567893" w:rsidRDefault="004A6527" w:rsidP="006B554D">
      <w:pPr>
        <w:widowControl w:val="0"/>
        <w:spacing w:line="240" w:lineRule="auto"/>
        <w:rPr>
          <w:color w:val="000000" w:themeColor="text1"/>
          <w:sz w:val="24"/>
          <w:szCs w:val="22"/>
        </w:rPr>
      </w:pPr>
      <w:r w:rsidRPr="00567893">
        <w:rPr>
          <w:color w:val="000000" w:themeColor="text1"/>
          <w:sz w:val="24"/>
          <w:szCs w:val="22"/>
        </w:rPr>
        <w:t>The research analyzes the experiences of several FDI enterprises, including PT. Sorik Marapi Geothermal (PT. SMGP) in Indonesia, BSH Bosch and Siemens Hausgeräte GmbH (BSH) in China, Ankleshwar enterprises in India, and the joint venture Burgmann Malaysia Sdn. Bhd. in Malaysia.</w:t>
      </w:r>
    </w:p>
    <w:p w14:paraId="56CFF51A" w14:textId="2BDA4F6E" w:rsidR="004A6527" w:rsidRPr="00567893" w:rsidRDefault="004A6527"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2.4.2. Lessons for FDI enterprises in Vietnam</w:t>
      </w:r>
    </w:p>
    <w:p w14:paraId="4E0DCFC5" w14:textId="6C195AE0" w:rsidR="004A6527" w:rsidRPr="00567893" w:rsidRDefault="004A6527" w:rsidP="006B554D">
      <w:pPr>
        <w:widowControl w:val="0"/>
        <w:spacing w:line="240" w:lineRule="auto"/>
        <w:rPr>
          <w:color w:val="000000" w:themeColor="text1"/>
          <w:sz w:val="24"/>
          <w:szCs w:val="22"/>
        </w:rPr>
      </w:pPr>
      <w:r w:rsidRPr="00567893">
        <w:rPr>
          <w:color w:val="000000" w:themeColor="text1"/>
          <w:sz w:val="24"/>
          <w:szCs w:val="22"/>
        </w:rPr>
        <w:t>FDI enterprises operating in Vietnam should: assess the economic, social, and political environment and effectively leverage policies aimed at attracting green FDI; comply with international and local environmental laws and regulations; prioritize partners and suppliers that meet environmental criteria; invest in research and development (R&amp;D); establish internal control and monitoring units to supervise quality and environmental performance; emphasize human resource training related to green standards; and develop distribution channels and promotional strategies for environmentally friendly products and services.</w:t>
      </w:r>
    </w:p>
    <w:p w14:paraId="784225EF" w14:textId="3BFF7B6D" w:rsidR="00526EC0" w:rsidRPr="00567893" w:rsidRDefault="00567893" w:rsidP="006B554D">
      <w:pPr>
        <w:widowControl w:val="0"/>
        <w:spacing w:line="240" w:lineRule="auto"/>
        <w:jc w:val="center"/>
        <w:rPr>
          <w:b/>
          <w:bCs/>
          <w:color w:val="000000" w:themeColor="text1"/>
          <w:sz w:val="24"/>
          <w:szCs w:val="22"/>
        </w:rPr>
      </w:pPr>
      <w:r>
        <w:rPr>
          <w:b/>
          <w:bCs/>
          <w:color w:val="000000" w:themeColor="text1"/>
          <w:sz w:val="24"/>
          <w:szCs w:val="22"/>
        </w:rPr>
        <w:br w:type="column"/>
      </w:r>
      <w:r w:rsidR="00526EC0" w:rsidRPr="00567893">
        <w:rPr>
          <w:b/>
          <w:bCs/>
          <w:color w:val="000000" w:themeColor="text1"/>
          <w:sz w:val="24"/>
          <w:szCs w:val="22"/>
        </w:rPr>
        <w:lastRenderedPageBreak/>
        <w:t>CHAPTER 3</w:t>
      </w:r>
      <w:r w:rsidR="004A6527" w:rsidRPr="00567893">
        <w:rPr>
          <w:b/>
          <w:bCs/>
          <w:color w:val="000000" w:themeColor="text1"/>
          <w:sz w:val="24"/>
          <w:szCs w:val="22"/>
        </w:rPr>
        <w:t>:</w:t>
      </w:r>
      <w:r w:rsidR="00526EC0" w:rsidRPr="00567893">
        <w:rPr>
          <w:b/>
          <w:bCs/>
          <w:color w:val="000000" w:themeColor="text1"/>
          <w:sz w:val="24"/>
          <w:szCs w:val="22"/>
        </w:rPr>
        <w:t xml:space="preserve"> </w:t>
      </w:r>
      <w:r w:rsidR="004A6527" w:rsidRPr="00567893">
        <w:rPr>
          <w:b/>
          <w:bCs/>
          <w:color w:val="000000" w:themeColor="text1"/>
          <w:sz w:val="24"/>
          <w:szCs w:val="22"/>
        </w:rPr>
        <w:t xml:space="preserve">ANALYZING THE CURRENT STATUS OF GREEN INVESTMENT BEHAVIOR OF FDI ENTERPRISES IN HANOI </w:t>
      </w:r>
    </w:p>
    <w:p w14:paraId="3792ADED" w14:textId="32A54BAA" w:rsidR="00C67426" w:rsidRPr="00567893" w:rsidRDefault="007968DB"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3.1. </w:t>
      </w:r>
      <w:r w:rsidR="004A6527" w:rsidRPr="00567893">
        <w:rPr>
          <w:b/>
          <w:bCs/>
          <w:color w:val="000000" w:themeColor="text1"/>
          <w:sz w:val="24"/>
          <w:szCs w:val="22"/>
        </w:rPr>
        <w:t>Overview of Hanoi and its foreign direct investment</w:t>
      </w:r>
    </w:p>
    <w:p w14:paraId="1E61AC5F" w14:textId="534B079C" w:rsidR="007968DB" w:rsidRPr="00567893" w:rsidRDefault="007968DB"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3.1.1.</w:t>
      </w:r>
      <w:r w:rsidR="0092541A" w:rsidRPr="00567893">
        <w:rPr>
          <w:b/>
          <w:bCs/>
          <w:i/>
          <w:iCs/>
          <w:color w:val="000000" w:themeColor="text1"/>
          <w:sz w:val="24"/>
          <w:szCs w:val="22"/>
        </w:rPr>
        <w:t xml:space="preserve"> </w:t>
      </w:r>
      <w:r w:rsidR="004A6527" w:rsidRPr="00567893">
        <w:rPr>
          <w:b/>
          <w:bCs/>
          <w:i/>
          <w:iCs/>
          <w:color w:val="000000" w:themeColor="text1"/>
          <w:sz w:val="24"/>
          <w:szCs w:val="22"/>
        </w:rPr>
        <w:t>Socio-economic development of Hanoi</w:t>
      </w:r>
    </w:p>
    <w:p w14:paraId="42DAC804" w14:textId="77777777" w:rsidR="004A6527" w:rsidRPr="00567893" w:rsidRDefault="004A6527" w:rsidP="006B554D">
      <w:pPr>
        <w:widowControl w:val="0"/>
        <w:spacing w:line="240" w:lineRule="auto"/>
        <w:rPr>
          <w:sz w:val="24"/>
          <w:szCs w:val="22"/>
        </w:rPr>
      </w:pPr>
      <w:r w:rsidRPr="00567893">
        <w:rPr>
          <w:sz w:val="24"/>
          <w:szCs w:val="22"/>
        </w:rPr>
        <w:t>Hanoi, as the political, economic, and cultural center of Vietnam, plays a leading role in the Northern Key Economic Region, with a population of approximately 8.72 million and cumulative FDI capital exceeding USD 43 billion. The city’s economy has remained stable, with GRDP growth reaching 6.52% in 2024 and accounting for over 12% of the national economic scale. High-quality human resources and a dynamic market environment further strengthen Hanoi’s attractiveness to foreign direct investment and its relevance as a case for sustainable development research.</w:t>
      </w:r>
    </w:p>
    <w:p w14:paraId="2C16BFEA" w14:textId="3D320DA2" w:rsidR="004A6527" w:rsidRPr="00567893" w:rsidRDefault="004A6527"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3.1.2. Status of foreign direct investment in Hanoi</w:t>
      </w:r>
    </w:p>
    <w:p w14:paraId="02920B1C" w14:textId="2281780A" w:rsidR="004A6527" w:rsidRPr="00567893" w:rsidRDefault="004A6527" w:rsidP="006B554D">
      <w:pPr>
        <w:widowControl w:val="0"/>
        <w:spacing w:line="240" w:lineRule="auto"/>
        <w:rPr>
          <w:sz w:val="24"/>
          <w:szCs w:val="22"/>
        </w:rPr>
      </w:pPr>
      <w:r w:rsidRPr="00567893">
        <w:rPr>
          <w:sz w:val="24"/>
          <w:szCs w:val="22"/>
        </w:rPr>
        <w:t>FDI plays a crucial role in Vietnam’s socio-economic development, particularly in Hanoi. Since the economic opening period, Hanoi has consistently been among the leading localities in attracting FDI. During the 2010–2024 period, the number of active FDI projects increased significantly, contributing to economic growth, structural transformation, and labor productivity improvement, despite fluctuations in the global economic environment.</w:t>
      </w:r>
    </w:p>
    <w:p w14:paraId="5D96C621" w14:textId="7FFEEFBB" w:rsidR="004A6527" w:rsidRPr="00567893" w:rsidRDefault="004A6527" w:rsidP="006B554D">
      <w:pPr>
        <w:widowControl w:val="0"/>
        <w:spacing w:line="240" w:lineRule="auto"/>
        <w:rPr>
          <w:sz w:val="24"/>
          <w:szCs w:val="22"/>
        </w:rPr>
      </w:pPr>
      <w:r w:rsidRPr="00567893">
        <w:rPr>
          <w:sz w:val="24"/>
          <w:szCs w:val="22"/>
        </w:rPr>
        <w:t>FDI inflows in Hanoi are concentrated in districts with well-developed infrastructure and span multiple sectors, notably real estate, manufacturing and processing industries, and services. Major investors originate from the Republic of Korea, Japan, Singapore, and China. While wholly foreign-owned projects account for the majority in terms of number, joint-venture projects tend to have larger capital scale, underscoring the increasingly important role of FDI in the sustainable development of the Capital.</w:t>
      </w:r>
    </w:p>
    <w:p w14:paraId="49CC2BA7" w14:textId="10B0D118" w:rsidR="004A6527" w:rsidRPr="00567893" w:rsidRDefault="004A6527"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3.1.3. Contributions of FDI enterprises to the sustainable development of Hanoi</w:t>
      </w:r>
    </w:p>
    <w:p w14:paraId="5AA51F16" w14:textId="77777777" w:rsidR="004A6527" w:rsidRPr="00567893" w:rsidRDefault="004A6527" w:rsidP="006B554D">
      <w:pPr>
        <w:widowControl w:val="0"/>
        <w:spacing w:line="240" w:lineRule="auto"/>
        <w:rPr>
          <w:sz w:val="24"/>
          <w:szCs w:val="22"/>
        </w:rPr>
      </w:pPr>
      <w:r w:rsidRPr="00567893">
        <w:rPr>
          <w:sz w:val="24"/>
          <w:szCs w:val="22"/>
        </w:rPr>
        <w:t xml:space="preserve">FDI enterprises in Hanoi play a significant role in the city’s socio-economic development, contributing more than 10% of budget revenues, employment, and total investment capital. Hanoi has consistently ranked among the leading localities nationwide in attracting FDI, supported by a favorable investment environment and high-quality human resources. The FDI sector accounts for approximately 12–15% of the city’s GRDP, </w:t>
      </w:r>
      <w:r w:rsidRPr="00567893">
        <w:rPr>
          <w:sz w:val="24"/>
          <w:szCs w:val="22"/>
        </w:rPr>
        <w:lastRenderedPageBreak/>
        <w:t>generates stable employment, promotes technology transfer, and supports the development of high value-added and high-technology industries aligned with sustainability objectives. From an environmental perspective, FDI enterprises generally comply with environmental protection regulations, adopt cleaner production technologies, engage in green investment, and increase the use of renewable energy, thereby contributing to carbon emission reduction.</w:t>
      </w:r>
    </w:p>
    <w:p w14:paraId="0A330381" w14:textId="5973015D" w:rsidR="004A6527" w:rsidRPr="00567893" w:rsidRDefault="004A6527"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3.1.4. Green development policies of the Government and Hanoi</w:t>
      </w:r>
    </w:p>
    <w:p w14:paraId="7F9D4602" w14:textId="1D767232" w:rsidR="004A6527" w:rsidRPr="00567893" w:rsidRDefault="004A6527" w:rsidP="006B554D">
      <w:pPr>
        <w:widowControl w:val="0"/>
        <w:spacing w:line="240" w:lineRule="auto"/>
        <w:rPr>
          <w:sz w:val="24"/>
          <w:szCs w:val="22"/>
        </w:rPr>
      </w:pPr>
      <w:r w:rsidRPr="00567893">
        <w:rPr>
          <w:sz w:val="24"/>
          <w:szCs w:val="22"/>
        </w:rPr>
        <w:t>In recent years, the Government of Vietnam and the Hanoi municipal authorities have implemented a range of green development policies to encourage enterprises—particularly FDI enterprises—to pursue sustainable development. These policies focus on emission reduction, the promotion of green technologies, energy efficiency, and environmental protection, in line with Vietnam’s commitment to achieving net-zero emissions by 2050. Vietnam has established a relatively comprehensive strategic and legal framework, while Hanoi has introduced pioneering initiatives such as low-emission zones, air quality improvement programs, and the development of green agriculture, demonstrating its leading role in sustainable development. Policies supporting R&amp;D subsidies and incentives for efficient energy use have also been strengthened; however, participation by FDI enterprises remains limited due to difficulties in accessing financial incentives and the complexity of administrative procedures.</w:t>
      </w:r>
    </w:p>
    <w:p w14:paraId="6DC1CAAA" w14:textId="4763B0AE" w:rsidR="004017D1" w:rsidRPr="00567893" w:rsidRDefault="00E276A3" w:rsidP="006B554D">
      <w:pPr>
        <w:widowControl w:val="0"/>
        <w:spacing w:line="240" w:lineRule="auto"/>
        <w:ind w:firstLine="0"/>
        <w:rPr>
          <w:b/>
          <w:bCs/>
          <w:color w:val="000000" w:themeColor="text1"/>
          <w:sz w:val="24"/>
          <w:szCs w:val="22"/>
        </w:rPr>
      </w:pPr>
      <w:r w:rsidRPr="00567893">
        <w:rPr>
          <w:b/>
          <w:bCs/>
          <w:color w:val="000000" w:themeColor="text1"/>
          <w:sz w:val="24"/>
          <w:szCs w:val="22"/>
        </w:rPr>
        <w:t xml:space="preserve">3.2. </w:t>
      </w:r>
      <w:r w:rsidR="004A6527" w:rsidRPr="00567893">
        <w:rPr>
          <w:b/>
          <w:bCs/>
          <w:color w:val="000000" w:themeColor="text1"/>
          <w:sz w:val="24"/>
          <w:szCs w:val="22"/>
        </w:rPr>
        <w:t>Quantitative analysis of the impact of green investment behavior on the performance of FDI enterprises in Hanoi</w:t>
      </w:r>
    </w:p>
    <w:p w14:paraId="1D3EBEF1" w14:textId="57D1C47A" w:rsidR="00E276A3" w:rsidRPr="00567893" w:rsidRDefault="00E276A3"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3.2.1.</w:t>
      </w:r>
      <w:r w:rsidR="00953F0D" w:rsidRPr="00567893">
        <w:rPr>
          <w:b/>
          <w:bCs/>
          <w:i/>
          <w:iCs/>
          <w:color w:val="000000" w:themeColor="text1"/>
          <w:sz w:val="24"/>
          <w:szCs w:val="22"/>
        </w:rPr>
        <w:t xml:space="preserve"> </w:t>
      </w:r>
      <w:r w:rsidR="004A6527" w:rsidRPr="00567893">
        <w:rPr>
          <w:b/>
          <w:bCs/>
          <w:i/>
          <w:iCs/>
          <w:color w:val="000000" w:themeColor="text1"/>
          <w:sz w:val="24"/>
          <w:szCs w:val="22"/>
        </w:rPr>
        <w:t>Research design and sample</w:t>
      </w:r>
    </w:p>
    <w:p w14:paraId="3594AAE7" w14:textId="325BEECE" w:rsidR="004A6527" w:rsidRPr="00567893" w:rsidRDefault="004A6527" w:rsidP="006B554D">
      <w:pPr>
        <w:widowControl w:val="0"/>
        <w:spacing w:line="240" w:lineRule="auto"/>
        <w:rPr>
          <w:sz w:val="24"/>
          <w:szCs w:val="22"/>
        </w:rPr>
      </w:pPr>
      <w:r w:rsidRPr="00567893">
        <w:rPr>
          <w:sz w:val="24"/>
          <w:szCs w:val="22"/>
        </w:rPr>
        <w:t>This study employs a quantitative research approach, using a questionnaire-based survey to collect data from 189 FDI) enterprises operating in Hanoi.</w:t>
      </w:r>
    </w:p>
    <w:p w14:paraId="21B2B61F" w14:textId="2F8D01D1" w:rsidR="004A6527" w:rsidRPr="00567893" w:rsidRDefault="004A6527" w:rsidP="006B554D">
      <w:pPr>
        <w:widowControl w:val="0"/>
        <w:spacing w:line="240" w:lineRule="auto"/>
        <w:rPr>
          <w:sz w:val="24"/>
          <w:szCs w:val="22"/>
        </w:rPr>
      </w:pPr>
      <w:r w:rsidRPr="00567893">
        <w:rPr>
          <w:sz w:val="24"/>
          <w:szCs w:val="22"/>
        </w:rPr>
        <w:t>The regression equation is specified as follows:</w:t>
      </w:r>
    </w:p>
    <w:p w14:paraId="70FD62DF" w14:textId="77777777" w:rsidR="004A6527" w:rsidRPr="00567893" w:rsidRDefault="004A6527" w:rsidP="006B554D">
      <w:pPr>
        <w:widowControl w:val="0"/>
        <w:tabs>
          <w:tab w:val="left" w:pos="993"/>
        </w:tabs>
        <w:spacing w:line="240" w:lineRule="auto"/>
        <w:ind w:firstLine="0"/>
        <w:jc w:val="center"/>
        <w:rPr>
          <w:sz w:val="24"/>
          <w:szCs w:val="22"/>
          <w:lang w:val="vi-VN"/>
        </w:rPr>
      </w:pPr>
      <w:r w:rsidRPr="00567893">
        <w:rPr>
          <w:sz w:val="24"/>
          <w:szCs w:val="22"/>
          <w:lang w:val="vi-VN"/>
        </w:rPr>
        <w:t>Y = a</w:t>
      </w:r>
      <w:r w:rsidRPr="00567893">
        <w:rPr>
          <w:sz w:val="24"/>
          <w:szCs w:val="22"/>
          <w:vertAlign w:val="subscript"/>
          <w:lang w:val="vi-VN"/>
        </w:rPr>
        <w:t>0</w:t>
      </w:r>
      <w:r w:rsidRPr="00567893">
        <w:rPr>
          <w:sz w:val="24"/>
          <w:szCs w:val="22"/>
          <w:lang w:val="vi-VN"/>
        </w:rPr>
        <w:t xml:space="preserve"> + a</w:t>
      </w:r>
      <w:r w:rsidRPr="00567893">
        <w:rPr>
          <w:sz w:val="24"/>
          <w:szCs w:val="22"/>
          <w:vertAlign w:val="subscript"/>
          <w:lang w:val="vi-VN"/>
        </w:rPr>
        <w:t>1</w:t>
      </w:r>
      <w:r w:rsidRPr="00567893">
        <w:rPr>
          <w:sz w:val="24"/>
          <w:szCs w:val="22"/>
          <w:lang w:val="vi-VN"/>
        </w:rPr>
        <w:t>*X1 + a</w:t>
      </w:r>
      <w:r w:rsidRPr="00567893">
        <w:rPr>
          <w:sz w:val="24"/>
          <w:szCs w:val="22"/>
          <w:vertAlign w:val="subscript"/>
          <w:lang w:val="vi-VN"/>
        </w:rPr>
        <w:t>2</w:t>
      </w:r>
      <w:r w:rsidRPr="00567893">
        <w:rPr>
          <w:sz w:val="24"/>
          <w:szCs w:val="22"/>
          <w:lang w:val="vi-VN"/>
        </w:rPr>
        <w:t>*X2 + a</w:t>
      </w:r>
      <w:r w:rsidRPr="00567893">
        <w:rPr>
          <w:sz w:val="24"/>
          <w:szCs w:val="22"/>
          <w:vertAlign w:val="subscript"/>
          <w:lang w:val="vi-VN"/>
        </w:rPr>
        <w:t>3</w:t>
      </w:r>
      <w:r w:rsidRPr="00567893">
        <w:rPr>
          <w:sz w:val="24"/>
          <w:szCs w:val="22"/>
          <w:lang w:val="vi-VN"/>
        </w:rPr>
        <w:t>*X3 + a</w:t>
      </w:r>
      <w:r w:rsidRPr="00567893">
        <w:rPr>
          <w:sz w:val="24"/>
          <w:szCs w:val="22"/>
          <w:vertAlign w:val="subscript"/>
          <w:lang w:val="vi-VN"/>
        </w:rPr>
        <w:t>4</w:t>
      </w:r>
      <w:r w:rsidRPr="00567893">
        <w:rPr>
          <w:sz w:val="24"/>
          <w:szCs w:val="22"/>
          <w:lang w:val="vi-VN"/>
        </w:rPr>
        <w:t>*X4 + a</w:t>
      </w:r>
      <w:r w:rsidRPr="00567893">
        <w:rPr>
          <w:sz w:val="24"/>
          <w:szCs w:val="22"/>
          <w:vertAlign w:val="subscript"/>
          <w:lang w:val="vi-VN"/>
        </w:rPr>
        <w:t>5</w:t>
      </w:r>
      <w:r w:rsidRPr="00567893">
        <w:rPr>
          <w:sz w:val="24"/>
          <w:szCs w:val="22"/>
          <w:lang w:val="vi-VN"/>
        </w:rPr>
        <w:t>*X5 + a</w:t>
      </w:r>
      <w:r w:rsidRPr="00567893">
        <w:rPr>
          <w:sz w:val="24"/>
          <w:szCs w:val="22"/>
          <w:vertAlign w:val="subscript"/>
          <w:lang w:val="vi-VN"/>
        </w:rPr>
        <w:t>6</w:t>
      </w:r>
      <w:r w:rsidRPr="00567893">
        <w:rPr>
          <w:sz w:val="24"/>
          <w:szCs w:val="22"/>
          <w:lang w:val="vi-VN"/>
        </w:rPr>
        <w:t>*X6 +</w:t>
      </w:r>
      <w:r w:rsidRPr="00567893">
        <w:rPr>
          <w:sz w:val="24"/>
          <w:szCs w:val="22"/>
        </w:rPr>
        <w:t xml:space="preserve"> </w:t>
      </w:r>
      <w:r w:rsidRPr="00567893">
        <w:rPr>
          <w:sz w:val="24"/>
          <w:szCs w:val="22"/>
          <w:lang w:val="vi-VN"/>
        </w:rPr>
        <w:t>a</w:t>
      </w:r>
      <w:r w:rsidRPr="00567893">
        <w:rPr>
          <w:sz w:val="24"/>
          <w:szCs w:val="22"/>
          <w:vertAlign w:val="subscript"/>
          <w:lang w:val="vi-VN"/>
        </w:rPr>
        <w:t>7</w:t>
      </w:r>
      <w:r w:rsidRPr="00567893">
        <w:rPr>
          <w:sz w:val="24"/>
          <w:szCs w:val="22"/>
          <w:lang w:val="vi-VN"/>
        </w:rPr>
        <w:t>*M</w:t>
      </w:r>
      <w:r w:rsidRPr="00567893">
        <w:rPr>
          <w:sz w:val="24"/>
          <w:szCs w:val="22"/>
        </w:rPr>
        <w:t xml:space="preserve"> </w:t>
      </w:r>
      <w:r w:rsidRPr="00567893">
        <w:rPr>
          <w:sz w:val="24"/>
          <w:szCs w:val="22"/>
          <w:lang w:val="vi-VN"/>
        </w:rPr>
        <w:t>+ a</w:t>
      </w:r>
      <w:r w:rsidRPr="00567893">
        <w:rPr>
          <w:sz w:val="24"/>
          <w:szCs w:val="22"/>
          <w:vertAlign w:val="subscript"/>
          <w:lang w:val="vi-VN"/>
        </w:rPr>
        <w:t>8</w:t>
      </w:r>
      <w:r w:rsidRPr="00567893">
        <w:rPr>
          <w:sz w:val="24"/>
          <w:szCs w:val="22"/>
          <w:lang w:val="vi-VN"/>
        </w:rPr>
        <w:t>*X1*M + a</w:t>
      </w:r>
      <w:r w:rsidRPr="00567893">
        <w:rPr>
          <w:sz w:val="24"/>
          <w:szCs w:val="22"/>
          <w:vertAlign w:val="subscript"/>
          <w:lang w:val="vi-VN"/>
        </w:rPr>
        <w:t>9</w:t>
      </w:r>
      <w:r w:rsidRPr="00567893">
        <w:rPr>
          <w:sz w:val="24"/>
          <w:szCs w:val="22"/>
          <w:lang w:val="vi-VN"/>
        </w:rPr>
        <w:t>* X2*M + a</w:t>
      </w:r>
      <w:r w:rsidRPr="00567893">
        <w:rPr>
          <w:sz w:val="24"/>
          <w:szCs w:val="22"/>
          <w:vertAlign w:val="subscript"/>
          <w:lang w:val="vi-VN"/>
        </w:rPr>
        <w:t>10</w:t>
      </w:r>
      <w:r w:rsidRPr="00567893">
        <w:rPr>
          <w:sz w:val="24"/>
          <w:szCs w:val="22"/>
          <w:lang w:val="vi-VN"/>
        </w:rPr>
        <w:t>*X3*M + a</w:t>
      </w:r>
      <w:r w:rsidRPr="00567893">
        <w:rPr>
          <w:sz w:val="24"/>
          <w:szCs w:val="22"/>
          <w:vertAlign w:val="subscript"/>
          <w:lang w:val="vi-VN"/>
        </w:rPr>
        <w:t>11</w:t>
      </w:r>
      <w:r w:rsidRPr="00567893">
        <w:rPr>
          <w:sz w:val="24"/>
          <w:szCs w:val="22"/>
          <w:lang w:val="vi-VN"/>
        </w:rPr>
        <w:t>*X4*M + a</w:t>
      </w:r>
      <w:r w:rsidRPr="00567893">
        <w:rPr>
          <w:sz w:val="24"/>
          <w:szCs w:val="22"/>
          <w:vertAlign w:val="subscript"/>
          <w:lang w:val="vi-VN"/>
        </w:rPr>
        <w:t>12</w:t>
      </w:r>
      <w:r w:rsidRPr="00567893">
        <w:rPr>
          <w:sz w:val="24"/>
          <w:szCs w:val="22"/>
          <w:lang w:val="vi-VN"/>
        </w:rPr>
        <w:t>*X5*M + a</w:t>
      </w:r>
      <w:r w:rsidRPr="00567893">
        <w:rPr>
          <w:sz w:val="24"/>
          <w:szCs w:val="22"/>
          <w:vertAlign w:val="subscript"/>
          <w:lang w:val="vi-VN"/>
        </w:rPr>
        <w:t>13</w:t>
      </w:r>
      <w:r w:rsidRPr="00567893">
        <w:rPr>
          <w:sz w:val="24"/>
          <w:szCs w:val="22"/>
          <w:lang w:val="vi-VN"/>
        </w:rPr>
        <w:t>*X6*M + ε</w:t>
      </w:r>
    </w:p>
    <w:p w14:paraId="107738CC" w14:textId="77777777" w:rsidR="004A6527" w:rsidRPr="00567893" w:rsidRDefault="004A6527" w:rsidP="006B554D">
      <w:pPr>
        <w:widowControl w:val="0"/>
        <w:spacing w:line="240" w:lineRule="auto"/>
        <w:rPr>
          <w:sz w:val="24"/>
          <w:szCs w:val="22"/>
          <w:lang w:val="vi-VN"/>
        </w:rPr>
      </w:pPr>
      <w:r w:rsidRPr="00567893">
        <w:rPr>
          <w:sz w:val="24"/>
          <w:szCs w:val="22"/>
          <w:lang w:val="vi-VN"/>
        </w:rPr>
        <w:t>Where:</w:t>
      </w:r>
    </w:p>
    <w:p w14:paraId="20CFCC5F" w14:textId="77777777" w:rsidR="004A6527" w:rsidRPr="00567893" w:rsidRDefault="004A6527" w:rsidP="006B554D">
      <w:pPr>
        <w:widowControl w:val="0"/>
        <w:spacing w:line="240" w:lineRule="auto"/>
        <w:rPr>
          <w:sz w:val="24"/>
          <w:szCs w:val="22"/>
          <w:lang w:val="vi-VN"/>
        </w:rPr>
      </w:pPr>
      <w:r w:rsidRPr="00567893">
        <w:rPr>
          <w:sz w:val="24"/>
          <w:szCs w:val="22"/>
          <w:lang w:val="vi-VN"/>
        </w:rPr>
        <w:t>Y denotes the performance of FDI enterprises;</w:t>
      </w:r>
    </w:p>
    <w:p w14:paraId="5826CD51" w14:textId="77777777" w:rsidR="004A6527" w:rsidRPr="00567893" w:rsidRDefault="004A6527" w:rsidP="006B554D">
      <w:pPr>
        <w:widowControl w:val="0"/>
        <w:spacing w:line="240" w:lineRule="auto"/>
        <w:rPr>
          <w:sz w:val="24"/>
          <w:szCs w:val="22"/>
          <w:lang w:val="vi-VN"/>
        </w:rPr>
      </w:pPr>
      <w:r w:rsidRPr="00567893">
        <w:rPr>
          <w:sz w:val="24"/>
          <w:szCs w:val="22"/>
          <w:lang w:val="vi-VN"/>
        </w:rPr>
        <w:t>a₀, a₁, …, a₁₃ are the coefficients to be estimated;</w:t>
      </w:r>
    </w:p>
    <w:p w14:paraId="79C7C682" w14:textId="77777777" w:rsidR="004A6527" w:rsidRPr="00567893" w:rsidRDefault="004A6527" w:rsidP="006B554D">
      <w:pPr>
        <w:widowControl w:val="0"/>
        <w:spacing w:line="240" w:lineRule="auto"/>
        <w:rPr>
          <w:sz w:val="24"/>
          <w:szCs w:val="22"/>
          <w:lang w:val="vi-VN"/>
        </w:rPr>
      </w:pPr>
      <w:r w:rsidRPr="00567893">
        <w:rPr>
          <w:sz w:val="24"/>
          <w:szCs w:val="22"/>
          <w:lang w:val="vi-VN"/>
        </w:rPr>
        <w:t>X₁, X₂, …, X₆ represent the green investment behaviors of FDI enterprises;</w:t>
      </w:r>
    </w:p>
    <w:p w14:paraId="1A5A538F" w14:textId="77777777" w:rsidR="004A6527" w:rsidRPr="00567893" w:rsidRDefault="004A6527" w:rsidP="006B554D">
      <w:pPr>
        <w:widowControl w:val="0"/>
        <w:spacing w:line="240" w:lineRule="auto"/>
        <w:rPr>
          <w:sz w:val="24"/>
          <w:szCs w:val="22"/>
          <w:lang w:val="vi-VN"/>
        </w:rPr>
      </w:pPr>
      <w:r w:rsidRPr="00567893">
        <w:rPr>
          <w:sz w:val="24"/>
          <w:szCs w:val="22"/>
          <w:lang w:val="vi-VN"/>
        </w:rPr>
        <w:lastRenderedPageBreak/>
        <w:t>M denotes government green development policies;</w:t>
      </w:r>
    </w:p>
    <w:p w14:paraId="0E1FF28C" w14:textId="57391ECB" w:rsidR="004A6527" w:rsidRPr="00567893" w:rsidRDefault="004A6527" w:rsidP="006B554D">
      <w:pPr>
        <w:widowControl w:val="0"/>
        <w:spacing w:line="240" w:lineRule="auto"/>
        <w:rPr>
          <w:sz w:val="24"/>
          <w:szCs w:val="22"/>
        </w:rPr>
      </w:pPr>
      <w:r w:rsidRPr="00567893">
        <w:rPr>
          <w:sz w:val="24"/>
          <w:szCs w:val="22"/>
          <w:lang w:val="vi-VN"/>
        </w:rPr>
        <w:t>ε is the error term.</w:t>
      </w:r>
    </w:p>
    <w:p w14:paraId="62C617C2" w14:textId="2847BB1B" w:rsidR="00B5296A" w:rsidRPr="00567893" w:rsidRDefault="00B5296A"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3.2.2. Variable measurement validation</w:t>
      </w:r>
    </w:p>
    <w:p w14:paraId="29C1AA5F" w14:textId="77777777" w:rsidR="00B5296A" w:rsidRPr="00567893" w:rsidRDefault="00B5296A" w:rsidP="006B554D">
      <w:pPr>
        <w:widowControl w:val="0"/>
        <w:spacing w:line="240" w:lineRule="auto"/>
        <w:rPr>
          <w:sz w:val="24"/>
          <w:szCs w:val="22"/>
        </w:rPr>
      </w:pPr>
      <w:r w:rsidRPr="00567893">
        <w:rPr>
          <w:sz w:val="24"/>
          <w:szCs w:val="22"/>
        </w:rPr>
        <w:t>The results of Exploratory Factor Analysis (EFA), Cronbach’s Alpha, and correlation analysis indicate that the research model fully satisfies statistical requirements. Specifically, the EFA confirms the appropriateness of the measurement structure, as 30 observed variables representing six independent variables and one moderating variable are extracted into seven factors (KMO = 0.814; Sig. = 0.000; cumulative variance explained = 74.73%), while the dependent variable forms a single factor with a cumulative variance explained of 62.54%. All measurement scales demonstrate high reliability (Cronbach’s Alpha &gt; 0.7), ensuring internal consistency. Pearson correlation analysis reveals that the correlation coefficients are statistically significant and all below 0.7, thereby confirming discriminant validity and excluding multicollinearity issues. These results provide a solid basis for further testing of the research model and hypotheses.</w:t>
      </w:r>
    </w:p>
    <w:p w14:paraId="126F8A40" w14:textId="186ED791" w:rsidR="00B5296A" w:rsidRPr="00567893" w:rsidRDefault="00B5296A" w:rsidP="006B554D">
      <w:pPr>
        <w:widowControl w:val="0"/>
        <w:spacing w:line="240" w:lineRule="auto"/>
        <w:ind w:firstLine="0"/>
        <w:rPr>
          <w:b/>
          <w:bCs/>
          <w:i/>
          <w:iCs/>
          <w:color w:val="000000" w:themeColor="text1"/>
          <w:sz w:val="24"/>
          <w:szCs w:val="22"/>
        </w:rPr>
      </w:pPr>
      <w:r w:rsidRPr="00567893">
        <w:rPr>
          <w:b/>
          <w:bCs/>
          <w:i/>
          <w:iCs/>
          <w:color w:val="000000" w:themeColor="text1"/>
          <w:sz w:val="24"/>
          <w:szCs w:val="22"/>
        </w:rPr>
        <w:t>3.2.3. Model and hypothesis testing</w:t>
      </w:r>
    </w:p>
    <w:p w14:paraId="49896ABE" w14:textId="388693E9" w:rsidR="00B5296A" w:rsidRPr="00567893" w:rsidRDefault="00B5296A" w:rsidP="006B554D">
      <w:pPr>
        <w:widowControl w:val="0"/>
        <w:spacing w:line="240" w:lineRule="auto"/>
        <w:rPr>
          <w:sz w:val="26"/>
        </w:rPr>
      </w:pPr>
      <w:r w:rsidRPr="00567893">
        <w:rPr>
          <w:sz w:val="24"/>
          <w:szCs w:val="22"/>
        </w:rPr>
        <w:t>The regression results</w:t>
      </w:r>
      <w:r w:rsidRPr="00567893">
        <w:rPr>
          <w:sz w:val="26"/>
        </w:rPr>
        <w:t xml:space="preserve"> are summarized in the table below.</w:t>
      </w:r>
    </w:p>
    <w:tbl>
      <w:tblPr>
        <w:tblW w:w="6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989"/>
        <w:gridCol w:w="1107"/>
        <w:gridCol w:w="808"/>
        <w:gridCol w:w="720"/>
        <w:gridCol w:w="1126"/>
        <w:gridCol w:w="720"/>
        <w:gridCol w:w="7"/>
        <w:gridCol w:w="105"/>
      </w:tblGrid>
      <w:tr w:rsidR="00B5296A" w:rsidRPr="00567893" w14:paraId="6C71A9B8" w14:textId="77777777" w:rsidTr="00B5296A">
        <w:trPr>
          <w:gridAfter w:val="1"/>
          <w:wAfter w:w="105" w:type="dxa"/>
          <w:trHeight w:val="20"/>
          <w:jc w:val="center"/>
        </w:trPr>
        <w:tc>
          <w:tcPr>
            <w:tcW w:w="1120" w:type="dxa"/>
            <w:vMerge w:val="restart"/>
            <w:vAlign w:val="center"/>
          </w:tcPr>
          <w:p w14:paraId="65F2007C"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lang w:val="pt-BR"/>
              </w:rPr>
            </w:pPr>
          </w:p>
        </w:tc>
        <w:tc>
          <w:tcPr>
            <w:tcW w:w="2096" w:type="dxa"/>
            <w:gridSpan w:val="2"/>
            <w:vAlign w:val="center"/>
          </w:tcPr>
          <w:p w14:paraId="10097B67" w14:textId="432AF95C" w:rsidR="00B5296A" w:rsidRPr="00567893" w:rsidRDefault="00B5296A" w:rsidP="006B554D">
            <w:pPr>
              <w:widowControl w:val="0"/>
              <w:pBdr>
                <w:top w:val="nil"/>
                <w:left w:val="nil"/>
                <w:bottom w:val="nil"/>
                <w:right w:val="nil"/>
                <w:between w:val="nil"/>
              </w:pBdr>
              <w:spacing w:line="240" w:lineRule="auto"/>
              <w:ind w:firstLine="0"/>
              <w:jc w:val="center"/>
              <w:rPr>
                <w:b/>
                <w:bCs/>
                <w:color w:val="000000"/>
                <w:highlight w:val="white"/>
                <w:lang w:val="pt-BR"/>
              </w:rPr>
            </w:pPr>
            <w:r w:rsidRPr="00567893">
              <w:rPr>
                <w:b/>
                <w:bCs/>
                <w:color w:val="000000"/>
                <w:lang w:val="pt-BR"/>
              </w:rPr>
              <w:t>Unstandardized Coefficients</w:t>
            </w:r>
          </w:p>
        </w:tc>
        <w:tc>
          <w:tcPr>
            <w:tcW w:w="808" w:type="dxa"/>
            <w:vMerge w:val="restart"/>
            <w:vAlign w:val="center"/>
          </w:tcPr>
          <w:p w14:paraId="56CFD68A" w14:textId="77777777" w:rsidR="00B5296A" w:rsidRPr="00567893" w:rsidRDefault="00B5296A" w:rsidP="006B554D">
            <w:pPr>
              <w:widowControl w:val="0"/>
              <w:pBdr>
                <w:top w:val="nil"/>
                <w:left w:val="nil"/>
                <w:bottom w:val="nil"/>
                <w:right w:val="nil"/>
                <w:between w:val="nil"/>
              </w:pBdr>
              <w:spacing w:line="240" w:lineRule="auto"/>
              <w:ind w:firstLine="0"/>
              <w:jc w:val="center"/>
              <w:rPr>
                <w:b/>
                <w:bCs/>
                <w:color w:val="000000"/>
                <w:highlight w:val="white"/>
              </w:rPr>
            </w:pPr>
            <w:r w:rsidRPr="00567893">
              <w:rPr>
                <w:b/>
                <w:bCs/>
                <w:color w:val="000000"/>
                <w:highlight w:val="white"/>
              </w:rPr>
              <w:t>t</w:t>
            </w:r>
          </w:p>
        </w:tc>
        <w:tc>
          <w:tcPr>
            <w:tcW w:w="720" w:type="dxa"/>
            <w:vMerge w:val="restart"/>
            <w:vAlign w:val="center"/>
          </w:tcPr>
          <w:p w14:paraId="7E6647D7" w14:textId="77777777" w:rsidR="00B5296A" w:rsidRPr="00567893" w:rsidRDefault="00B5296A" w:rsidP="006B554D">
            <w:pPr>
              <w:widowControl w:val="0"/>
              <w:pBdr>
                <w:top w:val="nil"/>
                <w:left w:val="nil"/>
                <w:bottom w:val="nil"/>
                <w:right w:val="nil"/>
                <w:between w:val="nil"/>
              </w:pBdr>
              <w:spacing w:line="240" w:lineRule="auto"/>
              <w:ind w:firstLine="0"/>
              <w:jc w:val="center"/>
              <w:rPr>
                <w:b/>
                <w:bCs/>
                <w:color w:val="000000"/>
                <w:highlight w:val="white"/>
              </w:rPr>
            </w:pPr>
            <w:r w:rsidRPr="00567893">
              <w:rPr>
                <w:b/>
                <w:bCs/>
                <w:color w:val="000000"/>
                <w:highlight w:val="white"/>
              </w:rPr>
              <w:t>Sig.</w:t>
            </w:r>
          </w:p>
        </w:tc>
        <w:tc>
          <w:tcPr>
            <w:tcW w:w="1853" w:type="dxa"/>
            <w:gridSpan w:val="3"/>
            <w:vAlign w:val="center"/>
          </w:tcPr>
          <w:p w14:paraId="34DF0FE6" w14:textId="393F56D1" w:rsidR="00B5296A" w:rsidRPr="00567893" w:rsidRDefault="00B5296A" w:rsidP="006B554D">
            <w:pPr>
              <w:widowControl w:val="0"/>
              <w:pBdr>
                <w:top w:val="nil"/>
                <w:left w:val="nil"/>
                <w:bottom w:val="nil"/>
                <w:right w:val="nil"/>
                <w:between w:val="nil"/>
              </w:pBdr>
              <w:spacing w:line="240" w:lineRule="auto"/>
              <w:ind w:firstLine="0"/>
              <w:jc w:val="center"/>
              <w:rPr>
                <w:b/>
                <w:bCs/>
                <w:color w:val="000000"/>
                <w:highlight w:val="white"/>
              </w:rPr>
            </w:pPr>
            <w:r w:rsidRPr="00567893">
              <w:rPr>
                <w:b/>
                <w:bCs/>
                <w:color w:val="000000"/>
              </w:rPr>
              <w:t>Collinearity Statistics</w:t>
            </w:r>
          </w:p>
        </w:tc>
      </w:tr>
      <w:tr w:rsidR="00B5296A" w:rsidRPr="00567893" w14:paraId="3663703A" w14:textId="77777777" w:rsidTr="00B5296A">
        <w:trPr>
          <w:gridAfter w:val="2"/>
          <w:wAfter w:w="112" w:type="dxa"/>
          <w:trHeight w:val="20"/>
          <w:jc w:val="center"/>
        </w:trPr>
        <w:tc>
          <w:tcPr>
            <w:tcW w:w="1120" w:type="dxa"/>
            <w:vMerge/>
            <w:vAlign w:val="center"/>
          </w:tcPr>
          <w:p w14:paraId="5F88D667"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p>
        </w:tc>
        <w:tc>
          <w:tcPr>
            <w:tcW w:w="989" w:type="dxa"/>
            <w:tcBorders>
              <w:bottom w:val="single" w:sz="4" w:space="0" w:color="000000"/>
            </w:tcBorders>
            <w:vAlign w:val="center"/>
          </w:tcPr>
          <w:p w14:paraId="1F961040" w14:textId="77777777" w:rsidR="00B5296A" w:rsidRPr="00567893" w:rsidRDefault="00B5296A" w:rsidP="006B554D">
            <w:pPr>
              <w:widowControl w:val="0"/>
              <w:pBdr>
                <w:top w:val="nil"/>
                <w:left w:val="nil"/>
                <w:bottom w:val="nil"/>
                <w:right w:val="nil"/>
                <w:between w:val="nil"/>
              </w:pBdr>
              <w:spacing w:line="240" w:lineRule="auto"/>
              <w:ind w:firstLine="0"/>
              <w:jc w:val="center"/>
              <w:rPr>
                <w:b/>
                <w:bCs/>
                <w:i/>
                <w:iCs/>
                <w:color w:val="000000"/>
                <w:highlight w:val="white"/>
              </w:rPr>
            </w:pPr>
            <w:r w:rsidRPr="00567893">
              <w:rPr>
                <w:b/>
                <w:bCs/>
                <w:i/>
                <w:iCs/>
                <w:color w:val="000000"/>
                <w:highlight w:val="white"/>
              </w:rPr>
              <w:t>B</w:t>
            </w:r>
          </w:p>
        </w:tc>
        <w:tc>
          <w:tcPr>
            <w:tcW w:w="1107" w:type="dxa"/>
            <w:tcBorders>
              <w:bottom w:val="single" w:sz="4" w:space="0" w:color="000000"/>
            </w:tcBorders>
            <w:vAlign w:val="center"/>
          </w:tcPr>
          <w:p w14:paraId="5AFA3121" w14:textId="28717D51" w:rsidR="00B5296A" w:rsidRPr="00567893" w:rsidRDefault="00B5296A" w:rsidP="006B554D">
            <w:pPr>
              <w:widowControl w:val="0"/>
              <w:pBdr>
                <w:top w:val="nil"/>
                <w:left w:val="nil"/>
                <w:bottom w:val="nil"/>
                <w:right w:val="nil"/>
                <w:between w:val="nil"/>
              </w:pBdr>
              <w:spacing w:line="240" w:lineRule="auto"/>
              <w:ind w:firstLine="0"/>
              <w:jc w:val="center"/>
              <w:rPr>
                <w:b/>
                <w:bCs/>
                <w:i/>
                <w:iCs/>
                <w:color w:val="000000"/>
                <w:highlight w:val="white"/>
              </w:rPr>
            </w:pPr>
            <w:r w:rsidRPr="00567893">
              <w:rPr>
                <w:b/>
                <w:bCs/>
                <w:i/>
                <w:iCs/>
                <w:color w:val="000000"/>
              </w:rPr>
              <w:t>Std. Error</w:t>
            </w:r>
          </w:p>
        </w:tc>
        <w:tc>
          <w:tcPr>
            <w:tcW w:w="808" w:type="dxa"/>
            <w:vMerge/>
            <w:vAlign w:val="center"/>
          </w:tcPr>
          <w:p w14:paraId="4B3B9C93"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p>
        </w:tc>
        <w:tc>
          <w:tcPr>
            <w:tcW w:w="720" w:type="dxa"/>
            <w:vMerge/>
            <w:vAlign w:val="center"/>
          </w:tcPr>
          <w:p w14:paraId="48F28839"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p>
        </w:tc>
        <w:tc>
          <w:tcPr>
            <w:tcW w:w="1126" w:type="dxa"/>
            <w:tcBorders>
              <w:bottom w:val="single" w:sz="4" w:space="0" w:color="000000"/>
            </w:tcBorders>
            <w:vAlign w:val="center"/>
          </w:tcPr>
          <w:p w14:paraId="1B60BDDD" w14:textId="47BEEE7A" w:rsidR="00B5296A" w:rsidRPr="00567893" w:rsidRDefault="00B5296A" w:rsidP="006B554D">
            <w:pPr>
              <w:widowControl w:val="0"/>
              <w:pBdr>
                <w:top w:val="nil"/>
                <w:left w:val="nil"/>
                <w:bottom w:val="nil"/>
                <w:right w:val="nil"/>
                <w:between w:val="nil"/>
              </w:pBdr>
              <w:spacing w:line="240" w:lineRule="auto"/>
              <w:ind w:firstLine="0"/>
              <w:jc w:val="center"/>
              <w:rPr>
                <w:b/>
                <w:bCs/>
                <w:i/>
                <w:iCs/>
                <w:color w:val="000000"/>
                <w:highlight w:val="white"/>
              </w:rPr>
            </w:pPr>
            <w:r w:rsidRPr="00567893">
              <w:rPr>
                <w:b/>
                <w:bCs/>
                <w:i/>
                <w:iCs/>
                <w:color w:val="000000"/>
              </w:rPr>
              <w:t>Tolerance</w:t>
            </w:r>
          </w:p>
        </w:tc>
        <w:tc>
          <w:tcPr>
            <w:tcW w:w="720" w:type="dxa"/>
            <w:tcBorders>
              <w:bottom w:val="single" w:sz="4" w:space="0" w:color="000000"/>
            </w:tcBorders>
            <w:vAlign w:val="center"/>
          </w:tcPr>
          <w:p w14:paraId="696081E0" w14:textId="77777777" w:rsidR="00B5296A" w:rsidRPr="00567893" w:rsidRDefault="00B5296A" w:rsidP="006B554D">
            <w:pPr>
              <w:widowControl w:val="0"/>
              <w:pBdr>
                <w:top w:val="nil"/>
                <w:left w:val="nil"/>
                <w:bottom w:val="nil"/>
                <w:right w:val="nil"/>
                <w:between w:val="nil"/>
              </w:pBdr>
              <w:spacing w:line="240" w:lineRule="auto"/>
              <w:ind w:firstLine="0"/>
              <w:jc w:val="center"/>
              <w:rPr>
                <w:b/>
                <w:bCs/>
                <w:i/>
                <w:iCs/>
                <w:color w:val="000000"/>
                <w:highlight w:val="white"/>
              </w:rPr>
            </w:pPr>
            <w:r w:rsidRPr="00567893">
              <w:rPr>
                <w:b/>
                <w:bCs/>
                <w:i/>
                <w:iCs/>
                <w:color w:val="000000"/>
                <w:highlight w:val="white"/>
              </w:rPr>
              <w:t>VIF</w:t>
            </w:r>
          </w:p>
        </w:tc>
      </w:tr>
      <w:tr w:rsidR="00B5296A" w:rsidRPr="00567893" w14:paraId="009C3F43" w14:textId="77777777" w:rsidTr="00B5296A">
        <w:trPr>
          <w:gridAfter w:val="2"/>
          <w:wAfter w:w="112" w:type="dxa"/>
          <w:trHeight w:val="20"/>
          <w:jc w:val="center"/>
        </w:trPr>
        <w:tc>
          <w:tcPr>
            <w:tcW w:w="1120" w:type="dxa"/>
            <w:tcBorders>
              <w:bottom w:val="dotted" w:sz="4" w:space="0" w:color="000000"/>
            </w:tcBorders>
          </w:tcPr>
          <w:p w14:paraId="1FD53298" w14:textId="2F6EC11C"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rPr>
              <w:t>(Constant)</w:t>
            </w:r>
          </w:p>
        </w:tc>
        <w:tc>
          <w:tcPr>
            <w:tcW w:w="989" w:type="dxa"/>
            <w:tcBorders>
              <w:bottom w:val="dotted" w:sz="4" w:space="0" w:color="000000"/>
            </w:tcBorders>
            <w:vAlign w:val="center"/>
          </w:tcPr>
          <w:p w14:paraId="5102BCAC"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-0,004</w:t>
            </w:r>
          </w:p>
        </w:tc>
        <w:tc>
          <w:tcPr>
            <w:tcW w:w="1107" w:type="dxa"/>
            <w:tcBorders>
              <w:bottom w:val="dotted" w:sz="4" w:space="0" w:color="000000"/>
            </w:tcBorders>
            <w:vAlign w:val="center"/>
          </w:tcPr>
          <w:p w14:paraId="710CE8F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0,052</w:t>
            </w:r>
          </w:p>
        </w:tc>
        <w:tc>
          <w:tcPr>
            <w:tcW w:w="808" w:type="dxa"/>
            <w:tcBorders>
              <w:bottom w:val="dotted" w:sz="4" w:space="0" w:color="000000"/>
            </w:tcBorders>
            <w:vAlign w:val="center"/>
          </w:tcPr>
          <w:p w14:paraId="1751A3A6"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-0,087</w:t>
            </w:r>
          </w:p>
        </w:tc>
        <w:tc>
          <w:tcPr>
            <w:tcW w:w="720" w:type="dxa"/>
            <w:tcBorders>
              <w:bottom w:val="dotted" w:sz="4" w:space="0" w:color="000000"/>
            </w:tcBorders>
            <w:vAlign w:val="center"/>
          </w:tcPr>
          <w:p w14:paraId="31FFC40A"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0,931</w:t>
            </w:r>
          </w:p>
        </w:tc>
        <w:tc>
          <w:tcPr>
            <w:tcW w:w="1126" w:type="dxa"/>
            <w:tcBorders>
              <w:bottom w:val="dotted" w:sz="4" w:space="0" w:color="000000"/>
            </w:tcBorders>
            <w:vAlign w:val="center"/>
          </w:tcPr>
          <w:p w14:paraId="3C1077F8"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p>
        </w:tc>
        <w:tc>
          <w:tcPr>
            <w:tcW w:w="720" w:type="dxa"/>
            <w:tcBorders>
              <w:bottom w:val="dotted" w:sz="4" w:space="0" w:color="000000"/>
            </w:tcBorders>
            <w:vAlign w:val="center"/>
          </w:tcPr>
          <w:p w14:paraId="5ED731B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p>
        </w:tc>
      </w:tr>
      <w:tr w:rsidR="00B5296A" w:rsidRPr="00567893" w14:paraId="03E7AD20" w14:textId="77777777" w:rsidTr="00B5296A">
        <w:trPr>
          <w:gridAfter w:val="2"/>
          <w:wAfter w:w="112" w:type="dxa"/>
          <w:trHeight w:val="20"/>
          <w:jc w:val="center"/>
        </w:trPr>
        <w:tc>
          <w:tcPr>
            <w:tcW w:w="1120" w:type="dxa"/>
            <w:tcBorders>
              <w:top w:val="dotted" w:sz="4" w:space="0" w:color="000000"/>
              <w:bottom w:val="dotted" w:sz="4" w:space="0" w:color="000000"/>
            </w:tcBorders>
          </w:tcPr>
          <w:p w14:paraId="05339CC6"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X1</w:t>
            </w:r>
          </w:p>
        </w:tc>
        <w:tc>
          <w:tcPr>
            <w:tcW w:w="989" w:type="dxa"/>
            <w:tcBorders>
              <w:top w:val="dotted" w:sz="4" w:space="0" w:color="000000"/>
              <w:bottom w:val="dotted" w:sz="4" w:space="0" w:color="000000"/>
            </w:tcBorders>
            <w:vAlign w:val="center"/>
          </w:tcPr>
          <w:p w14:paraId="28120A96"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0,224***</w:t>
            </w:r>
          </w:p>
        </w:tc>
        <w:tc>
          <w:tcPr>
            <w:tcW w:w="1107" w:type="dxa"/>
            <w:tcBorders>
              <w:top w:val="dotted" w:sz="4" w:space="0" w:color="000000"/>
              <w:bottom w:val="dotted" w:sz="4" w:space="0" w:color="000000"/>
            </w:tcBorders>
            <w:vAlign w:val="center"/>
          </w:tcPr>
          <w:p w14:paraId="572CD35F"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0,058</w:t>
            </w:r>
          </w:p>
        </w:tc>
        <w:tc>
          <w:tcPr>
            <w:tcW w:w="808" w:type="dxa"/>
            <w:tcBorders>
              <w:top w:val="dotted" w:sz="4" w:space="0" w:color="000000"/>
              <w:bottom w:val="dotted" w:sz="4" w:space="0" w:color="000000"/>
            </w:tcBorders>
            <w:vAlign w:val="center"/>
          </w:tcPr>
          <w:p w14:paraId="6DB5CADF"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3,858</w:t>
            </w:r>
          </w:p>
        </w:tc>
        <w:tc>
          <w:tcPr>
            <w:tcW w:w="720" w:type="dxa"/>
            <w:tcBorders>
              <w:top w:val="dotted" w:sz="4" w:space="0" w:color="000000"/>
              <w:bottom w:val="dotted" w:sz="4" w:space="0" w:color="000000"/>
            </w:tcBorders>
            <w:vAlign w:val="center"/>
          </w:tcPr>
          <w:p w14:paraId="7234CFFC"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0,000</w:t>
            </w:r>
          </w:p>
        </w:tc>
        <w:tc>
          <w:tcPr>
            <w:tcW w:w="1126" w:type="dxa"/>
            <w:tcBorders>
              <w:top w:val="dotted" w:sz="4" w:space="0" w:color="000000"/>
              <w:bottom w:val="dotted" w:sz="4" w:space="0" w:color="000000"/>
            </w:tcBorders>
            <w:vAlign w:val="center"/>
          </w:tcPr>
          <w:p w14:paraId="6F1BE3D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0,723</w:t>
            </w:r>
          </w:p>
        </w:tc>
        <w:tc>
          <w:tcPr>
            <w:tcW w:w="720" w:type="dxa"/>
            <w:tcBorders>
              <w:top w:val="dotted" w:sz="4" w:space="0" w:color="000000"/>
              <w:bottom w:val="dotted" w:sz="4" w:space="0" w:color="000000"/>
            </w:tcBorders>
            <w:vAlign w:val="center"/>
          </w:tcPr>
          <w:p w14:paraId="1C019617"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1,384</w:t>
            </w:r>
          </w:p>
        </w:tc>
      </w:tr>
      <w:tr w:rsidR="00B5296A" w:rsidRPr="00567893" w14:paraId="654D2483" w14:textId="77777777" w:rsidTr="00B5296A">
        <w:trPr>
          <w:gridAfter w:val="2"/>
          <w:wAfter w:w="112" w:type="dxa"/>
          <w:trHeight w:val="20"/>
          <w:jc w:val="center"/>
        </w:trPr>
        <w:tc>
          <w:tcPr>
            <w:tcW w:w="1120" w:type="dxa"/>
            <w:tcBorders>
              <w:top w:val="dotted" w:sz="4" w:space="0" w:color="000000"/>
              <w:bottom w:val="dotted" w:sz="4" w:space="0" w:color="000000"/>
            </w:tcBorders>
          </w:tcPr>
          <w:p w14:paraId="69E96403"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X2</w:t>
            </w:r>
          </w:p>
        </w:tc>
        <w:tc>
          <w:tcPr>
            <w:tcW w:w="989" w:type="dxa"/>
            <w:tcBorders>
              <w:top w:val="dotted" w:sz="4" w:space="0" w:color="000000"/>
              <w:bottom w:val="dotted" w:sz="4" w:space="0" w:color="000000"/>
            </w:tcBorders>
            <w:vAlign w:val="center"/>
          </w:tcPr>
          <w:p w14:paraId="39AEBA8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0,327***</w:t>
            </w:r>
          </w:p>
        </w:tc>
        <w:tc>
          <w:tcPr>
            <w:tcW w:w="1107" w:type="dxa"/>
            <w:tcBorders>
              <w:top w:val="dotted" w:sz="4" w:space="0" w:color="000000"/>
              <w:bottom w:val="dotted" w:sz="4" w:space="0" w:color="000000"/>
            </w:tcBorders>
            <w:vAlign w:val="center"/>
          </w:tcPr>
          <w:p w14:paraId="7F37AFE6"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0,054</w:t>
            </w:r>
          </w:p>
        </w:tc>
        <w:tc>
          <w:tcPr>
            <w:tcW w:w="808" w:type="dxa"/>
            <w:tcBorders>
              <w:top w:val="dotted" w:sz="4" w:space="0" w:color="000000"/>
              <w:bottom w:val="dotted" w:sz="4" w:space="0" w:color="000000"/>
            </w:tcBorders>
            <w:vAlign w:val="center"/>
          </w:tcPr>
          <w:p w14:paraId="1664145A"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6,094</w:t>
            </w:r>
          </w:p>
        </w:tc>
        <w:tc>
          <w:tcPr>
            <w:tcW w:w="720" w:type="dxa"/>
            <w:tcBorders>
              <w:top w:val="dotted" w:sz="4" w:space="0" w:color="000000"/>
              <w:bottom w:val="dotted" w:sz="4" w:space="0" w:color="000000"/>
            </w:tcBorders>
            <w:vAlign w:val="center"/>
          </w:tcPr>
          <w:p w14:paraId="186D75AC"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0,000</w:t>
            </w:r>
          </w:p>
        </w:tc>
        <w:tc>
          <w:tcPr>
            <w:tcW w:w="1126" w:type="dxa"/>
            <w:tcBorders>
              <w:top w:val="dotted" w:sz="4" w:space="0" w:color="000000"/>
              <w:bottom w:val="dotted" w:sz="4" w:space="0" w:color="000000"/>
            </w:tcBorders>
            <w:vAlign w:val="center"/>
          </w:tcPr>
          <w:p w14:paraId="3A480B12"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0,843</w:t>
            </w:r>
          </w:p>
        </w:tc>
        <w:tc>
          <w:tcPr>
            <w:tcW w:w="720" w:type="dxa"/>
            <w:tcBorders>
              <w:top w:val="dotted" w:sz="4" w:space="0" w:color="000000"/>
              <w:bottom w:val="dotted" w:sz="4" w:space="0" w:color="000000"/>
            </w:tcBorders>
            <w:vAlign w:val="center"/>
          </w:tcPr>
          <w:p w14:paraId="78DD853B"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1,187</w:t>
            </w:r>
          </w:p>
        </w:tc>
      </w:tr>
      <w:tr w:rsidR="00B5296A" w:rsidRPr="00567893" w14:paraId="5F907C0E" w14:textId="77777777" w:rsidTr="00B5296A">
        <w:trPr>
          <w:gridAfter w:val="2"/>
          <w:wAfter w:w="112" w:type="dxa"/>
          <w:trHeight w:val="20"/>
          <w:jc w:val="center"/>
        </w:trPr>
        <w:tc>
          <w:tcPr>
            <w:tcW w:w="1120" w:type="dxa"/>
            <w:tcBorders>
              <w:top w:val="dotted" w:sz="4" w:space="0" w:color="000000"/>
              <w:bottom w:val="dotted" w:sz="4" w:space="0" w:color="000000"/>
            </w:tcBorders>
          </w:tcPr>
          <w:p w14:paraId="5B7EAE00"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X3</w:t>
            </w:r>
          </w:p>
        </w:tc>
        <w:tc>
          <w:tcPr>
            <w:tcW w:w="989" w:type="dxa"/>
            <w:tcBorders>
              <w:top w:val="dotted" w:sz="4" w:space="0" w:color="000000"/>
              <w:bottom w:val="dotted" w:sz="4" w:space="0" w:color="000000"/>
            </w:tcBorders>
            <w:vAlign w:val="center"/>
          </w:tcPr>
          <w:p w14:paraId="25E60BDF"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0,084</w:t>
            </w:r>
          </w:p>
        </w:tc>
        <w:tc>
          <w:tcPr>
            <w:tcW w:w="1107" w:type="dxa"/>
            <w:tcBorders>
              <w:top w:val="dotted" w:sz="4" w:space="0" w:color="000000"/>
              <w:bottom w:val="dotted" w:sz="4" w:space="0" w:color="000000"/>
            </w:tcBorders>
            <w:vAlign w:val="center"/>
          </w:tcPr>
          <w:p w14:paraId="056223A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0,058</w:t>
            </w:r>
          </w:p>
        </w:tc>
        <w:tc>
          <w:tcPr>
            <w:tcW w:w="808" w:type="dxa"/>
            <w:tcBorders>
              <w:top w:val="dotted" w:sz="4" w:space="0" w:color="000000"/>
              <w:bottom w:val="dotted" w:sz="4" w:space="0" w:color="000000"/>
            </w:tcBorders>
            <w:vAlign w:val="center"/>
          </w:tcPr>
          <w:p w14:paraId="20FDCB7B"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1,437</w:t>
            </w:r>
          </w:p>
        </w:tc>
        <w:tc>
          <w:tcPr>
            <w:tcW w:w="720" w:type="dxa"/>
            <w:tcBorders>
              <w:top w:val="dotted" w:sz="4" w:space="0" w:color="000000"/>
              <w:bottom w:val="dotted" w:sz="4" w:space="0" w:color="000000"/>
            </w:tcBorders>
            <w:vAlign w:val="center"/>
          </w:tcPr>
          <w:p w14:paraId="4373E80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0,152</w:t>
            </w:r>
          </w:p>
        </w:tc>
        <w:tc>
          <w:tcPr>
            <w:tcW w:w="1126" w:type="dxa"/>
            <w:tcBorders>
              <w:top w:val="dotted" w:sz="4" w:space="0" w:color="000000"/>
              <w:bottom w:val="dotted" w:sz="4" w:space="0" w:color="000000"/>
            </w:tcBorders>
            <w:vAlign w:val="center"/>
          </w:tcPr>
          <w:p w14:paraId="509A27AB"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0,713</w:t>
            </w:r>
          </w:p>
        </w:tc>
        <w:tc>
          <w:tcPr>
            <w:tcW w:w="720" w:type="dxa"/>
            <w:tcBorders>
              <w:top w:val="dotted" w:sz="4" w:space="0" w:color="000000"/>
              <w:bottom w:val="dotted" w:sz="4" w:space="0" w:color="000000"/>
            </w:tcBorders>
            <w:vAlign w:val="center"/>
          </w:tcPr>
          <w:p w14:paraId="44F0A902"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1,402</w:t>
            </w:r>
          </w:p>
        </w:tc>
      </w:tr>
      <w:tr w:rsidR="00B5296A" w:rsidRPr="00567893" w14:paraId="5F00128A" w14:textId="77777777" w:rsidTr="00B5296A">
        <w:trPr>
          <w:gridAfter w:val="2"/>
          <w:wAfter w:w="112" w:type="dxa"/>
          <w:trHeight w:val="20"/>
          <w:jc w:val="center"/>
        </w:trPr>
        <w:tc>
          <w:tcPr>
            <w:tcW w:w="1120" w:type="dxa"/>
            <w:tcBorders>
              <w:top w:val="dotted" w:sz="4" w:space="0" w:color="000000"/>
              <w:bottom w:val="dotted" w:sz="4" w:space="0" w:color="000000"/>
            </w:tcBorders>
          </w:tcPr>
          <w:p w14:paraId="44F4061E"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X4</w:t>
            </w:r>
          </w:p>
        </w:tc>
        <w:tc>
          <w:tcPr>
            <w:tcW w:w="989" w:type="dxa"/>
            <w:tcBorders>
              <w:top w:val="dotted" w:sz="4" w:space="0" w:color="000000"/>
              <w:bottom w:val="dotted" w:sz="4" w:space="0" w:color="000000"/>
            </w:tcBorders>
            <w:vAlign w:val="center"/>
          </w:tcPr>
          <w:p w14:paraId="609B8F5A"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0,109*</w:t>
            </w:r>
          </w:p>
        </w:tc>
        <w:tc>
          <w:tcPr>
            <w:tcW w:w="1107" w:type="dxa"/>
            <w:tcBorders>
              <w:top w:val="dotted" w:sz="4" w:space="0" w:color="000000"/>
              <w:bottom w:val="dotted" w:sz="4" w:space="0" w:color="000000"/>
            </w:tcBorders>
            <w:vAlign w:val="center"/>
          </w:tcPr>
          <w:p w14:paraId="4AD76376"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0,055</w:t>
            </w:r>
          </w:p>
        </w:tc>
        <w:tc>
          <w:tcPr>
            <w:tcW w:w="808" w:type="dxa"/>
            <w:tcBorders>
              <w:top w:val="dotted" w:sz="4" w:space="0" w:color="000000"/>
              <w:bottom w:val="dotted" w:sz="4" w:space="0" w:color="000000"/>
            </w:tcBorders>
            <w:vAlign w:val="center"/>
          </w:tcPr>
          <w:p w14:paraId="440F71B2"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1,974</w:t>
            </w:r>
          </w:p>
        </w:tc>
        <w:tc>
          <w:tcPr>
            <w:tcW w:w="720" w:type="dxa"/>
            <w:tcBorders>
              <w:top w:val="dotted" w:sz="4" w:space="0" w:color="000000"/>
              <w:bottom w:val="dotted" w:sz="4" w:space="0" w:color="000000"/>
            </w:tcBorders>
            <w:vAlign w:val="center"/>
          </w:tcPr>
          <w:p w14:paraId="1F898C9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0,049</w:t>
            </w:r>
          </w:p>
        </w:tc>
        <w:tc>
          <w:tcPr>
            <w:tcW w:w="1126" w:type="dxa"/>
            <w:tcBorders>
              <w:top w:val="dotted" w:sz="4" w:space="0" w:color="000000"/>
              <w:bottom w:val="dotted" w:sz="4" w:space="0" w:color="000000"/>
            </w:tcBorders>
            <w:vAlign w:val="center"/>
          </w:tcPr>
          <w:p w14:paraId="7AE4196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0,798</w:t>
            </w:r>
          </w:p>
        </w:tc>
        <w:tc>
          <w:tcPr>
            <w:tcW w:w="720" w:type="dxa"/>
            <w:tcBorders>
              <w:top w:val="dotted" w:sz="4" w:space="0" w:color="000000"/>
              <w:bottom w:val="dotted" w:sz="4" w:space="0" w:color="000000"/>
            </w:tcBorders>
            <w:vAlign w:val="center"/>
          </w:tcPr>
          <w:p w14:paraId="1BB08C38"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1,253</w:t>
            </w:r>
          </w:p>
        </w:tc>
      </w:tr>
      <w:tr w:rsidR="00B5296A" w:rsidRPr="00567893" w14:paraId="5986549A" w14:textId="77777777" w:rsidTr="00B5296A">
        <w:trPr>
          <w:gridAfter w:val="2"/>
          <w:wAfter w:w="112" w:type="dxa"/>
          <w:trHeight w:val="20"/>
          <w:jc w:val="center"/>
        </w:trPr>
        <w:tc>
          <w:tcPr>
            <w:tcW w:w="1120" w:type="dxa"/>
            <w:tcBorders>
              <w:top w:val="dotted" w:sz="4" w:space="0" w:color="000000"/>
              <w:bottom w:val="dotted" w:sz="4" w:space="0" w:color="000000"/>
            </w:tcBorders>
          </w:tcPr>
          <w:p w14:paraId="20D41BF1"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X5</w:t>
            </w:r>
          </w:p>
        </w:tc>
        <w:tc>
          <w:tcPr>
            <w:tcW w:w="989" w:type="dxa"/>
            <w:tcBorders>
              <w:top w:val="dotted" w:sz="4" w:space="0" w:color="000000"/>
              <w:bottom w:val="dotted" w:sz="4" w:space="0" w:color="000000"/>
            </w:tcBorders>
            <w:vAlign w:val="center"/>
          </w:tcPr>
          <w:p w14:paraId="04409DEF"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0,134*</w:t>
            </w:r>
          </w:p>
        </w:tc>
        <w:tc>
          <w:tcPr>
            <w:tcW w:w="1107" w:type="dxa"/>
            <w:tcBorders>
              <w:top w:val="dotted" w:sz="4" w:space="0" w:color="000000"/>
              <w:bottom w:val="dotted" w:sz="4" w:space="0" w:color="000000"/>
            </w:tcBorders>
            <w:vAlign w:val="center"/>
          </w:tcPr>
          <w:p w14:paraId="3DF781D6"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0,054</w:t>
            </w:r>
          </w:p>
        </w:tc>
        <w:tc>
          <w:tcPr>
            <w:tcW w:w="808" w:type="dxa"/>
            <w:tcBorders>
              <w:top w:val="dotted" w:sz="4" w:space="0" w:color="000000"/>
              <w:bottom w:val="dotted" w:sz="4" w:space="0" w:color="000000"/>
            </w:tcBorders>
            <w:vAlign w:val="center"/>
          </w:tcPr>
          <w:p w14:paraId="5B3CC86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2,470</w:t>
            </w:r>
          </w:p>
        </w:tc>
        <w:tc>
          <w:tcPr>
            <w:tcW w:w="720" w:type="dxa"/>
            <w:tcBorders>
              <w:top w:val="dotted" w:sz="4" w:space="0" w:color="000000"/>
              <w:bottom w:val="dotted" w:sz="4" w:space="0" w:color="000000"/>
            </w:tcBorders>
            <w:vAlign w:val="center"/>
          </w:tcPr>
          <w:p w14:paraId="45E20E0F"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0,014</w:t>
            </w:r>
          </w:p>
        </w:tc>
        <w:tc>
          <w:tcPr>
            <w:tcW w:w="1126" w:type="dxa"/>
            <w:tcBorders>
              <w:top w:val="dotted" w:sz="4" w:space="0" w:color="000000"/>
              <w:bottom w:val="dotted" w:sz="4" w:space="0" w:color="000000"/>
            </w:tcBorders>
            <w:vAlign w:val="center"/>
          </w:tcPr>
          <w:p w14:paraId="0C423716"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0,832</w:t>
            </w:r>
          </w:p>
        </w:tc>
        <w:tc>
          <w:tcPr>
            <w:tcW w:w="720" w:type="dxa"/>
            <w:tcBorders>
              <w:top w:val="dotted" w:sz="4" w:space="0" w:color="000000"/>
              <w:bottom w:val="dotted" w:sz="4" w:space="0" w:color="000000"/>
            </w:tcBorders>
            <w:vAlign w:val="center"/>
          </w:tcPr>
          <w:p w14:paraId="6347EE1A"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1,202</w:t>
            </w:r>
          </w:p>
        </w:tc>
      </w:tr>
      <w:tr w:rsidR="00B5296A" w:rsidRPr="00567893" w14:paraId="2AB9C591" w14:textId="77777777" w:rsidTr="00B5296A">
        <w:trPr>
          <w:gridAfter w:val="2"/>
          <w:wAfter w:w="112" w:type="dxa"/>
          <w:trHeight w:val="20"/>
          <w:jc w:val="center"/>
        </w:trPr>
        <w:tc>
          <w:tcPr>
            <w:tcW w:w="1120" w:type="dxa"/>
            <w:tcBorders>
              <w:top w:val="dotted" w:sz="4" w:space="0" w:color="000000"/>
              <w:bottom w:val="dotted" w:sz="4" w:space="0" w:color="000000"/>
            </w:tcBorders>
          </w:tcPr>
          <w:p w14:paraId="11688D23"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X6</w:t>
            </w:r>
          </w:p>
        </w:tc>
        <w:tc>
          <w:tcPr>
            <w:tcW w:w="989" w:type="dxa"/>
            <w:tcBorders>
              <w:top w:val="dotted" w:sz="4" w:space="0" w:color="000000"/>
              <w:bottom w:val="dotted" w:sz="4" w:space="0" w:color="000000"/>
            </w:tcBorders>
            <w:vAlign w:val="center"/>
          </w:tcPr>
          <w:p w14:paraId="72FB2E7C"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0,284***</w:t>
            </w:r>
          </w:p>
        </w:tc>
        <w:tc>
          <w:tcPr>
            <w:tcW w:w="1107" w:type="dxa"/>
            <w:tcBorders>
              <w:top w:val="dotted" w:sz="4" w:space="0" w:color="000000"/>
              <w:bottom w:val="dotted" w:sz="4" w:space="0" w:color="000000"/>
            </w:tcBorders>
            <w:vAlign w:val="center"/>
          </w:tcPr>
          <w:p w14:paraId="293342C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0,059</w:t>
            </w:r>
          </w:p>
        </w:tc>
        <w:tc>
          <w:tcPr>
            <w:tcW w:w="808" w:type="dxa"/>
            <w:tcBorders>
              <w:top w:val="dotted" w:sz="4" w:space="0" w:color="000000"/>
              <w:bottom w:val="dotted" w:sz="4" w:space="0" w:color="000000"/>
            </w:tcBorders>
            <w:vAlign w:val="center"/>
          </w:tcPr>
          <w:p w14:paraId="2E95D6B0"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4,837</w:t>
            </w:r>
          </w:p>
        </w:tc>
        <w:tc>
          <w:tcPr>
            <w:tcW w:w="720" w:type="dxa"/>
            <w:tcBorders>
              <w:top w:val="dotted" w:sz="4" w:space="0" w:color="000000"/>
              <w:bottom w:val="dotted" w:sz="4" w:space="0" w:color="000000"/>
            </w:tcBorders>
            <w:vAlign w:val="center"/>
          </w:tcPr>
          <w:p w14:paraId="4559E438"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0,000</w:t>
            </w:r>
          </w:p>
        </w:tc>
        <w:tc>
          <w:tcPr>
            <w:tcW w:w="1126" w:type="dxa"/>
            <w:tcBorders>
              <w:top w:val="dotted" w:sz="4" w:space="0" w:color="000000"/>
              <w:bottom w:val="dotted" w:sz="4" w:space="0" w:color="000000"/>
            </w:tcBorders>
            <w:vAlign w:val="center"/>
          </w:tcPr>
          <w:p w14:paraId="249520B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0,708</w:t>
            </w:r>
          </w:p>
        </w:tc>
        <w:tc>
          <w:tcPr>
            <w:tcW w:w="720" w:type="dxa"/>
            <w:tcBorders>
              <w:top w:val="dotted" w:sz="4" w:space="0" w:color="000000"/>
              <w:bottom w:val="dotted" w:sz="4" w:space="0" w:color="000000"/>
            </w:tcBorders>
            <w:vAlign w:val="center"/>
          </w:tcPr>
          <w:p w14:paraId="08150DA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1,413</w:t>
            </w:r>
          </w:p>
        </w:tc>
      </w:tr>
      <w:tr w:rsidR="00B5296A" w:rsidRPr="00567893" w14:paraId="77DBD04D" w14:textId="77777777" w:rsidTr="00B5296A">
        <w:trPr>
          <w:gridAfter w:val="2"/>
          <w:wAfter w:w="112" w:type="dxa"/>
          <w:trHeight w:val="20"/>
          <w:jc w:val="center"/>
        </w:trPr>
        <w:tc>
          <w:tcPr>
            <w:tcW w:w="1120" w:type="dxa"/>
            <w:tcBorders>
              <w:top w:val="dotted" w:sz="4" w:space="0" w:color="000000"/>
              <w:bottom w:val="dotted" w:sz="4" w:space="0" w:color="000000"/>
            </w:tcBorders>
          </w:tcPr>
          <w:p w14:paraId="33DD15DB"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M</w:t>
            </w:r>
          </w:p>
        </w:tc>
        <w:tc>
          <w:tcPr>
            <w:tcW w:w="989" w:type="dxa"/>
            <w:tcBorders>
              <w:top w:val="dotted" w:sz="4" w:space="0" w:color="000000"/>
              <w:bottom w:val="dotted" w:sz="4" w:space="0" w:color="000000"/>
            </w:tcBorders>
            <w:vAlign w:val="center"/>
          </w:tcPr>
          <w:p w14:paraId="439C45A7"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-0,003</w:t>
            </w:r>
          </w:p>
        </w:tc>
        <w:tc>
          <w:tcPr>
            <w:tcW w:w="1107" w:type="dxa"/>
            <w:tcBorders>
              <w:top w:val="dotted" w:sz="4" w:space="0" w:color="000000"/>
              <w:bottom w:val="dotted" w:sz="4" w:space="0" w:color="000000"/>
            </w:tcBorders>
            <w:vAlign w:val="center"/>
          </w:tcPr>
          <w:p w14:paraId="5D29025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0,056</w:t>
            </w:r>
          </w:p>
        </w:tc>
        <w:tc>
          <w:tcPr>
            <w:tcW w:w="808" w:type="dxa"/>
            <w:tcBorders>
              <w:top w:val="dotted" w:sz="4" w:space="0" w:color="000000"/>
              <w:bottom w:val="dotted" w:sz="4" w:space="0" w:color="000000"/>
            </w:tcBorders>
            <w:vAlign w:val="center"/>
          </w:tcPr>
          <w:p w14:paraId="094C9CC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-0,062</w:t>
            </w:r>
          </w:p>
        </w:tc>
        <w:tc>
          <w:tcPr>
            <w:tcW w:w="720" w:type="dxa"/>
            <w:tcBorders>
              <w:top w:val="dotted" w:sz="4" w:space="0" w:color="000000"/>
              <w:bottom w:val="dotted" w:sz="4" w:space="0" w:color="000000"/>
            </w:tcBorders>
            <w:vAlign w:val="center"/>
          </w:tcPr>
          <w:p w14:paraId="5B283758"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0,951</w:t>
            </w:r>
          </w:p>
        </w:tc>
        <w:tc>
          <w:tcPr>
            <w:tcW w:w="1126" w:type="dxa"/>
            <w:tcBorders>
              <w:top w:val="dotted" w:sz="4" w:space="0" w:color="000000"/>
              <w:bottom w:val="dotted" w:sz="4" w:space="0" w:color="000000"/>
            </w:tcBorders>
            <w:vAlign w:val="center"/>
          </w:tcPr>
          <w:p w14:paraId="30E000C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0,785</w:t>
            </w:r>
          </w:p>
        </w:tc>
        <w:tc>
          <w:tcPr>
            <w:tcW w:w="720" w:type="dxa"/>
            <w:tcBorders>
              <w:top w:val="dotted" w:sz="4" w:space="0" w:color="000000"/>
              <w:bottom w:val="dotted" w:sz="4" w:space="0" w:color="000000"/>
            </w:tcBorders>
            <w:vAlign w:val="center"/>
          </w:tcPr>
          <w:p w14:paraId="1C8A11DB"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1,273</w:t>
            </w:r>
          </w:p>
        </w:tc>
      </w:tr>
      <w:tr w:rsidR="00B5296A" w:rsidRPr="00567893" w14:paraId="12527AB8" w14:textId="77777777" w:rsidTr="00B5296A">
        <w:trPr>
          <w:gridAfter w:val="2"/>
          <w:wAfter w:w="112" w:type="dxa"/>
          <w:trHeight w:val="20"/>
          <w:jc w:val="center"/>
        </w:trPr>
        <w:tc>
          <w:tcPr>
            <w:tcW w:w="1120" w:type="dxa"/>
            <w:tcBorders>
              <w:top w:val="dotted" w:sz="4" w:space="0" w:color="000000"/>
              <w:bottom w:val="dotted" w:sz="4" w:space="0" w:color="000000"/>
            </w:tcBorders>
          </w:tcPr>
          <w:p w14:paraId="46D320B2"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X1*M</w:t>
            </w:r>
          </w:p>
        </w:tc>
        <w:tc>
          <w:tcPr>
            <w:tcW w:w="989" w:type="dxa"/>
            <w:tcBorders>
              <w:top w:val="dotted" w:sz="4" w:space="0" w:color="000000"/>
              <w:bottom w:val="dotted" w:sz="4" w:space="0" w:color="000000"/>
            </w:tcBorders>
            <w:vAlign w:val="center"/>
          </w:tcPr>
          <w:p w14:paraId="2C9A16EB"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0,130*</w:t>
            </w:r>
          </w:p>
        </w:tc>
        <w:tc>
          <w:tcPr>
            <w:tcW w:w="1107" w:type="dxa"/>
            <w:tcBorders>
              <w:top w:val="dotted" w:sz="4" w:space="0" w:color="000000"/>
              <w:bottom w:val="dotted" w:sz="4" w:space="0" w:color="000000"/>
            </w:tcBorders>
            <w:vAlign w:val="center"/>
          </w:tcPr>
          <w:p w14:paraId="2E6E0F70"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0,056</w:t>
            </w:r>
          </w:p>
        </w:tc>
        <w:tc>
          <w:tcPr>
            <w:tcW w:w="808" w:type="dxa"/>
            <w:tcBorders>
              <w:top w:val="dotted" w:sz="4" w:space="0" w:color="000000"/>
              <w:bottom w:val="dotted" w:sz="4" w:space="0" w:color="000000"/>
            </w:tcBorders>
            <w:vAlign w:val="center"/>
          </w:tcPr>
          <w:p w14:paraId="4F52FBE7"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2,321</w:t>
            </w:r>
          </w:p>
        </w:tc>
        <w:tc>
          <w:tcPr>
            <w:tcW w:w="720" w:type="dxa"/>
            <w:tcBorders>
              <w:top w:val="dotted" w:sz="4" w:space="0" w:color="000000"/>
              <w:bottom w:val="dotted" w:sz="4" w:space="0" w:color="000000"/>
            </w:tcBorders>
            <w:vAlign w:val="center"/>
          </w:tcPr>
          <w:p w14:paraId="3D9699F2"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0,021</w:t>
            </w:r>
          </w:p>
        </w:tc>
        <w:tc>
          <w:tcPr>
            <w:tcW w:w="1126" w:type="dxa"/>
            <w:tcBorders>
              <w:top w:val="dotted" w:sz="4" w:space="0" w:color="000000"/>
              <w:bottom w:val="dotted" w:sz="4" w:space="0" w:color="000000"/>
            </w:tcBorders>
            <w:vAlign w:val="center"/>
          </w:tcPr>
          <w:p w14:paraId="559CA84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0,625</w:t>
            </w:r>
          </w:p>
        </w:tc>
        <w:tc>
          <w:tcPr>
            <w:tcW w:w="720" w:type="dxa"/>
            <w:tcBorders>
              <w:top w:val="dotted" w:sz="4" w:space="0" w:color="000000"/>
              <w:bottom w:val="dotted" w:sz="4" w:space="0" w:color="000000"/>
            </w:tcBorders>
            <w:vAlign w:val="center"/>
          </w:tcPr>
          <w:p w14:paraId="75EFF9E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1,601</w:t>
            </w:r>
          </w:p>
        </w:tc>
      </w:tr>
      <w:tr w:rsidR="00B5296A" w:rsidRPr="00567893" w14:paraId="224994E8" w14:textId="77777777" w:rsidTr="00B5296A">
        <w:trPr>
          <w:gridAfter w:val="2"/>
          <w:wAfter w:w="112" w:type="dxa"/>
          <w:trHeight w:val="20"/>
          <w:jc w:val="center"/>
        </w:trPr>
        <w:tc>
          <w:tcPr>
            <w:tcW w:w="1120" w:type="dxa"/>
            <w:tcBorders>
              <w:top w:val="dotted" w:sz="4" w:space="0" w:color="000000"/>
              <w:bottom w:val="dotted" w:sz="4" w:space="0" w:color="000000"/>
            </w:tcBorders>
          </w:tcPr>
          <w:p w14:paraId="013AA510"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X2*M</w:t>
            </w:r>
          </w:p>
        </w:tc>
        <w:tc>
          <w:tcPr>
            <w:tcW w:w="989" w:type="dxa"/>
            <w:tcBorders>
              <w:top w:val="dotted" w:sz="4" w:space="0" w:color="000000"/>
              <w:bottom w:val="dotted" w:sz="4" w:space="0" w:color="000000"/>
            </w:tcBorders>
            <w:vAlign w:val="center"/>
          </w:tcPr>
          <w:p w14:paraId="41DAFD7A"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-0,101*</w:t>
            </w:r>
          </w:p>
        </w:tc>
        <w:tc>
          <w:tcPr>
            <w:tcW w:w="1107" w:type="dxa"/>
            <w:tcBorders>
              <w:top w:val="dotted" w:sz="4" w:space="0" w:color="000000"/>
              <w:bottom w:val="dotted" w:sz="4" w:space="0" w:color="000000"/>
            </w:tcBorders>
            <w:vAlign w:val="center"/>
          </w:tcPr>
          <w:p w14:paraId="093B00A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0,047</w:t>
            </w:r>
          </w:p>
        </w:tc>
        <w:tc>
          <w:tcPr>
            <w:tcW w:w="808" w:type="dxa"/>
            <w:tcBorders>
              <w:top w:val="dotted" w:sz="4" w:space="0" w:color="000000"/>
              <w:bottom w:val="dotted" w:sz="4" w:space="0" w:color="000000"/>
            </w:tcBorders>
            <w:vAlign w:val="center"/>
          </w:tcPr>
          <w:p w14:paraId="3795932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-2,168</w:t>
            </w:r>
          </w:p>
        </w:tc>
        <w:tc>
          <w:tcPr>
            <w:tcW w:w="720" w:type="dxa"/>
            <w:tcBorders>
              <w:top w:val="dotted" w:sz="4" w:space="0" w:color="000000"/>
              <w:bottom w:val="dotted" w:sz="4" w:space="0" w:color="000000"/>
            </w:tcBorders>
            <w:vAlign w:val="center"/>
          </w:tcPr>
          <w:p w14:paraId="003A7897"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0,031</w:t>
            </w:r>
          </w:p>
        </w:tc>
        <w:tc>
          <w:tcPr>
            <w:tcW w:w="1126" w:type="dxa"/>
            <w:tcBorders>
              <w:top w:val="dotted" w:sz="4" w:space="0" w:color="000000"/>
              <w:bottom w:val="dotted" w:sz="4" w:space="0" w:color="000000"/>
            </w:tcBorders>
            <w:vAlign w:val="center"/>
          </w:tcPr>
          <w:p w14:paraId="5E30E84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0,876</w:t>
            </w:r>
          </w:p>
        </w:tc>
        <w:tc>
          <w:tcPr>
            <w:tcW w:w="720" w:type="dxa"/>
            <w:tcBorders>
              <w:top w:val="dotted" w:sz="4" w:space="0" w:color="000000"/>
              <w:bottom w:val="dotted" w:sz="4" w:space="0" w:color="000000"/>
            </w:tcBorders>
            <w:vAlign w:val="center"/>
          </w:tcPr>
          <w:p w14:paraId="154C118A"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1,141</w:t>
            </w:r>
          </w:p>
        </w:tc>
      </w:tr>
      <w:tr w:rsidR="00B5296A" w:rsidRPr="00567893" w14:paraId="4DBEBE75" w14:textId="77777777" w:rsidTr="00B5296A">
        <w:trPr>
          <w:gridAfter w:val="2"/>
          <w:wAfter w:w="112" w:type="dxa"/>
          <w:trHeight w:val="20"/>
          <w:jc w:val="center"/>
        </w:trPr>
        <w:tc>
          <w:tcPr>
            <w:tcW w:w="1120" w:type="dxa"/>
            <w:tcBorders>
              <w:top w:val="dotted" w:sz="4" w:space="0" w:color="000000"/>
              <w:bottom w:val="dotted" w:sz="4" w:space="0" w:color="000000"/>
            </w:tcBorders>
          </w:tcPr>
          <w:p w14:paraId="7BE23D7A"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X3*M</w:t>
            </w:r>
          </w:p>
        </w:tc>
        <w:tc>
          <w:tcPr>
            <w:tcW w:w="989" w:type="dxa"/>
            <w:tcBorders>
              <w:top w:val="dotted" w:sz="4" w:space="0" w:color="000000"/>
              <w:bottom w:val="dotted" w:sz="4" w:space="0" w:color="000000"/>
            </w:tcBorders>
            <w:vAlign w:val="center"/>
          </w:tcPr>
          <w:p w14:paraId="315D702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-0,064</w:t>
            </w:r>
          </w:p>
        </w:tc>
        <w:tc>
          <w:tcPr>
            <w:tcW w:w="1107" w:type="dxa"/>
            <w:tcBorders>
              <w:top w:val="dotted" w:sz="4" w:space="0" w:color="000000"/>
              <w:bottom w:val="dotted" w:sz="4" w:space="0" w:color="000000"/>
            </w:tcBorders>
            <w:vAlign w:val="center"/>
          </w:tcPr>
          <w:p w14:paraId="68A535C1"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0,064</w:t>
            </w:r>
          </w:p>
        </w:tc>
        <w:tc>
          <w:tcPr>
            <w:tcW w:w="808" w:type="dxa"/>
            <w:tcBorders>
              <w:top w:val="dotted" w:sz="4" w:space="0" w:color="000000"/>
              <w:bottom w:val="dotted" w:sz="4" w:space="0" w:color="000000"/>
            </w:tcBorders>
            <w:vAlign w:val="center"/>
          </w:tcPr>
          <w:p w14:paraId="250C0AE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-0,997</w:t>
            </w:r>
          </w:p>
        </w:tc>
        <w:tc>
          <w:tcPr>
            <w:tcW w:w="720" w:type="dxa"/>
            <w:tcBorders>
              <w:top w:val="dotted" w:sz="4" w:space="0" w:color="000000"/>
              <w:bottom w:val="dotted" w:sz="4" w:space="0" w:color="000000"/>
            </w:tcBorders>
            <w:vAlign w:val="center"/>
          </w:tcPr>
          <w:p w14:paraId="5A0BE975"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0,320</w:t>
            </w:r>
          </w:p>
        </w:tc>
        <w:tc>
          <w:tcPr>
            <w:tcW w:w="1126" w:type="dxa"/>
            <w:tcBorders>
              <w:top w:val="dotted" w:sz="4" w:space="0" w:color="000000"/>
              <w:bottom w:val="dotted" w:sz="4" w:space="0" w:color="000000"/>
            </w:tcBorders>
            <w:vAlign w:val="center"/>
          </w:tcPr>
          <w:p w14:paraId="160812A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0,539</w:t>
            </w:r>
          </w:p>
        </w:tc>
        <w:tc>
          <w:tcPr>
            <w:tcW w:w="720" w:type="dxa"/>
            <w:tcBorders>
              <w:top w:val="dotted" w:sz="4" w:space="0" w:color="000000"/>
              <w:bottom w:val="dotted" w:sz="4" w:space="0" w:color="000000"/>
            </w:tcBorders>
            <w:vAlign w:val="center"/>
          </w:tcPr>
          <w:p w14:paraId="4EC0991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1,856</w:t>
            </w:r>
          </w:p>
        </w:tc>
      </w:tr>
      <w:tr w:rsidR="00B5296A" w:rsidRPr="00567893" w14:paraId="687055DB" w14:textId="77777777" w:rsidTr="00B5296A">
        <w:trPr>
          <w:gridAfter w:val="2"/>
          <w:wAfter w:w="112" w:type="dxa"/>
          <w:trHeight w:val="20"/>
          <w:jc w:val="center"/>
        </w:trPr>
        <w:tc>
          <w:tcPr>
            <w:tcW w:w="1120" w:type="dxa"/>
            <w:tcBorders>
              <w:top w:val="dotted" w:sz="4" w:space="0" w:color="000000"/>
              <w:bottom w:val="dotted" w:sz="4" w:space="0" w:color="000000"/>
            </w:tcBorders>
          </w:tcPr>
          <w:p w14:paraId="299D6EF0"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lastRenderedPageBreak/>
              <w:t>X4*M</w:t>
            </w:r>
          </w:p>
        </w:tc>
        <w:tc>
          <w:tcPr>
            <w:tcW w:w="989" w:type="dxa"/>
            <w:tcBorders>
              <w:top w:val="dotted" w:sz="4" w:space="0" w:color="000000"/>
              <w:bottom w:val="dotted" w:sz="4" w:space="0" w:color="000000"/>
            </w:tcBorders>
            <w:vAlign w:val="center"/>
          </w:tcPr>
          <w:p w14:paraId="17B5BE43"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0,067</w:t>
            </w:r>
          </w:p>
        </w:tc>
        <w:tc>
          <w:tcPr>
            <w:tcW w:w="1107" w:type="dxa"/>
            <w:tcBorders>
              <w:top w:val="dotted" w:sz="4" w:space="0" w:color="000000"/>
              <w:bottom w:val="dotted" w:sz="4" w:space="0" w:color="000000"/>
            </w:tcBorders>
            <w:vAlign w:val="center"/>
          </w:tcPr>
          <w:p w14:paraId="3250D85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0,061</w:t>
            </w:r>
          </w:p>
        </w:tc>
        <w:tc>
          <w:tcPr>
            <w:tcW w:w="808" w:type="dxa"/>
            <w:tcBorders>
              <w:top w:val="dotted" w:sz="4" w:space="0" w:color="000000"/>
              <w:bottom w:val="dotted" w:sz="4" w:space="0" w:color="000000"/>
            </w:tcBorders>
            <w:vAlign w:val="center"/>
          </w:tcPr>
          <w:p w14:paraId="6288972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1,102</w:t>
            </w:r>
          </w:p>
        </w:tc>
        <w:tc>
          <w:tcPr>
            <w:tcW w:w="720" w:type="dxa"/>
            <w:tcBorders>
              <w:top w:val="dotted" w:sz="4" w:space="0" w:color="000000"/>
              <w:bottom w:val="dotted" w:sz="4" w:space="0" w:color="000000"/>
            </w:tcBorders>
            <w:vAlign w:val="center"/>
          </w:tcPr>
          <w:p w14:paraId="2D1BEF04"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0,272</w:t>
            </w:r>
          </w:p>
        </w:tc>
        <w:tc>
          <w:tcPr>
            <w:tcW w:w="1126" w:type="dxa"/>
            <w:tcBorders>
              <w:top w:val="dotted" w:sz="4" w:space="0" w:color="000000"/>
              <w:bottom w:val="dotted" w:sz="4" w:space="0" w:color="000000"/>
            </w:tcBorders>
            <w:vAlign w:val="center"/>
          </w:tcPr>
          <w:p w14:paraId="23AD2E3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0,650</w:t>
            </w:r>
          </w:p>
        </w:tc>
        <w:tc>
          <w:tcPr>
            <w:tcW w:w="720" w:type="dxa"/>
            <w:tcBorders>
              <w:top w:val="dotted" w:sz="4" w:space="0" w:color="000000"/>
              <w:bottom w:val="dotted" w:sz="4" w:space="0" w:color="000000"/>
            </w:tcBorders>
            <w:vAlign w:val="center"/>
          </w:tcPr>
          <w:p w14:paraId="45D3C66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1,537</w:t>
            </w:r>
          </w:p>
        </w:tc>
      </w:tr>
      <w:tr w:rsidR="00B5296A" w:rsidRPr="00567893" w14:paraId="2A93B5A1" w14:textId="77777777" w:rsidTr="00B5296A">
        <w:trPr>
          <w:gridAfter w:val="2"/>
          <w:wAfter w:w="112" w:type="dxa"/>
          <w:trHeight w:val="20"/>
          <w:jc w:val="center"/>
        </w:trPr>
        <w:tc>
          <w:tcPr>
            <w:tcW w:w="1120" w:type="dxa"/>
            <w:tcBorders>
              <w:top w:val="dotted" w:sz="4" w:space="0" w:color="000000"/>
              <w:bottom w:val="dotted" w:sz="4" w:space="0" w:color="000000"/>
            </w:tcBorders>
          </w:tcPr>
          <w:p w14:paraId="389AA1FA"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X5*M</w:t>
            </w:r>
          </w:p>
        </w:tc>
        <w:tc>
          <w:tcPr>
            <w:tcW w:w="989" w:type="dxa"/>
            <w:tcBorders>
              <w:top w:val="dotted" w:sz="4" w:space="0" w:color="000000"/>
              <w:bottom w:val="dotted" w:sz="4" w:space="0" w:color="000000"/>
            </w:tcBorders>
            <w:vAlign w:val="center"/>
          </w:tcPr>
          <w:p w14:paraId="1F44D17C"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0,046</w:t>
            </w:r>
          </w:p>
        </w:tc>
        <w:tc>
          <w:tcPr>
            <w:tcW w:w="1107" w:type="dxa"/>
            <w:tcBorders>
              <w:top w:val="dotted" w:sz="4" w:space="0" w:color="000000"/>
              <w:bottom w:val="dotted" w:sz="4" w:space="0" w:color="000000"/>
            </w:tcBorders>
            <w:vAlign w:val="center"/>
          </w:tcPr>
          <w:p w14:paraId="2E253779"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0,061</w:t>
            </w:r>
          </w:p>
        </w:tc>
        <w:tc>
          <w:tcPr>
            <w:tcW w:w="808" w:type="dxa"/>
            <w:tcBorders>
              <w:top w:val="dotted" w:sz="4" w:space="0" w:color="000000"/>
              <w:bottom w:val="dotted" w:sz="4" w:space="0" w:color="000000"/>
            </w:tcBorders>
            <w:vAlign w:val="center"/>
          </w:tcPr>
          <w:p w14:paraId="64CDE3F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0,756</w:t>
            </w:r>
          </w:p>
        </w:tc>
        <w:tc>
          <w:tcPr>
            <w:tcW w:w="720" w:type="dxa"/>
            <w:tcBorders>
              <w:top w:val="dotted" w:sz="4" w:space="0" w:color="000000"/>
              <w:bottom w:val="dotted" w:sz="4" w:space="0" w:color="000000"/>
            </w:tcBorders>
            <w:vAlign w:val="center"/>
          </w:tcPr>
          <w:p w14:paraId="49B0423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0,451</w:t>
            </w:r>
          </w:p>
        </w:tc>
        <w:tc>
          <w:tcPr>
            <w:tcW w:w="1126" w:type="dxa"/>
            <w:tcBorders>
              <w:top w:val="dotted" w:sz="4" w:space="0" w:color="000000"/>
              <w:bottom w:val="dotted" w:sz="4" w:space="0" w:color="000000"/>
            </w:tcBorders>
            <w:vAlign w:val="center"/>
          </w:tcPr>
          <w:p w14:paraId="09EA1C7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0,779</w:t>
            </w:r>
          </w:p>
        </w:tc>
        <w:tc>
          <w:tcPr>
            <w:tcW w:w="720" w:type="dxa"/>
            <w:tcBorders>
              <w:top w:val="dotted" w:sz="4" w:space="0" w:color="000000"/>
              <w:bottom w:val="dotted" w:sz="4" w:space="0" w:color="000000"/>
            </w:tcBorders>
            <w:vAlign w:val="center"/>
          </w:tcPr>
          <w:p w14:paraId="7553CAB0"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1,283</w:t>
            </w:r>
          </w:p>
        </w:tc>
      </w:tr>
      <w:tr w:rsidR="00B5296A" w:rsidRPr="00567893" w14:paraId="6E1DB202" w14:textId="77777777" w:rsidTr="00B5296A">
        <w:trPr>
          <w:gridAfter w:val="2"/>
          <w:wAfter w:w="112" w:type="dxa"/>
          <w:trHeight w:val="20"/>
          <w:jc w:val="center"/>
        </w:trPr>
        <w:tc>
          <w:tcPr>
            <w:tcW w:w="1120" w:type="dxa"/>
            <w:tcBorders>
              <w:top w:val="dotted" w:sz="4" w:space="0" w:color="000000"/>
              <w:bottom w:val="dotted" w:sz="4" w:space="0" w:color="000000"/>
            </w:tcBorders>
          </w:tcPr>
          <w:p w14:paraId="7FABA658"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X6*M</w:t>
            </w:r>
          </w:p>
        </w:tc>
        <w:tc>
          <w:tcPr>
            <w:tcW w:w="989" w:type="dxa"/>
            <w:tcBorders>
              <w:top w:val="dotted" w:sz="4" w:space="0" w:color="000000"/>
              <w:bottom w:val="dotted" w:sz="4" w:space="0" w:color="000000"/>
            </w:tcBorders>
            <w:vAlign w:val="center"/>
          </w:tcPr>
          <w:p w14:paraId="77197B65"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-0,014</w:t>
            </w:r>
          </w:p>
        </w:tc>
        <w:tc>
          <w:tcPr>
            <w:tcW w:w="1107" w:type="dxa"/>
            <w:tcBorders>
              <w:top w:val="dotted" w:sz="4" w:space="0" w:color="000000"/>
              <w:bottom w:val="dotted" w:sz="4" w:space="0" w:color="000000"/>
            </w:tcBorders>
            <w:vAlign w:val="center"/>
          </w:tcPr>
          <w:p w14:paraId="279FD498"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0,057</w:t>
            </w:r>
          </w:p>
        </w:tc>
        <w:tc>
          <w:tcPr>
            <w:tcW w:w="808" w:type="dxa"/>
            <w:tcBorders>
              <w:top w:val="dotted" w:sz="4" w:space="0" w:color="000000"/>
              <w:bottom w:val="dotted" w:sz="4" w:space="0" w:color="000000"/>
            </w:tcBorders>
            <w:vAlign w:val="center"/>
          </w:tcPr>
          <w:p w14:paraId="39AB8B48"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-0,242</w:t>
            </w:r>
          </w:p>
        </w:tc>
        <w:tc>
          <w:tcPr>
            <w:tcW w:w="720" w:type="dxa"/>
            <w:tcBorders>
              <w:top w:val="dotted" w:sz="4" w:space="0" w:color="000000"/>
              <w:bottom w:val="dotted" w:sz="4" w:space="0" w:color="000000"/>
            </w:tcBorders>
            <w:vAlign w:val="center"/>
          </w:tcPr>
          <w:p w14:paraId="050B2E9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0,809</w:t>
            </w:r>
          </w:p>
        </w:tc>
        <w:tc>
          <w:tcPr>
            <w:tcW w:w="1126" w:type="dxa"/>
            <w:tcBorders>
              <w:top w:val="dotted" w:sz="4" w:space="0" w:color="000000"/>
              <w:bottom w:val="dotted" w:sz="4" w:space="0" w:color="000000"/>
            </w:tcBorders>
            <w:vAlign w:val="center"/>
          </w:tcPr>
          <w:p w14:paraId="1907EE44"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0,659</w:t>
            </w:r>
          </w:p>
        </w:tc>
        <w:tc>
          <w:tcPr>
            <w:tcW w:w="720" w:type="dxa"/>
            <w:tcBorders>
              <w:top w:val="dotted" w:sz="4" w:space="0" w:color="000000"/>
              <w:bottom w:val="dotted" w:sz="4" w:space="0" w:color="000000"/>
            </w:tcBorders>
            <w:vAlign w:val="center"/>
          </w:tcPr>
          <w:p w14:paraId="604C6724"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1,518</w:t>
            </w:r>
          </w:p>
        </w:tc>
      </w:tr>
      <w:tr w:rsidR="00B5296A" w:rsidRPr="00567893" w14:paraId="7B1E5BB0" w14:textId="77777777" w:rsidTr="00B5296A">
        <w:trPr>
          <w:gridAfter w:val="2"/>
          <w:wAfter w:w="112" w:type="dxa"/>
          <w:trHeight w:val="20"/>
          <w:jc w:val="center"/>
        </w:trPr>
        <w:tc>
          <w:tcPr>
            <w:tcW w:w="1120" w:type="dxa"/>
            <w:tcBorders>
              <w:top w:val="dotted" w:sz="4" w:space="0" w:color="000000"/>
              <w:bottom w:val="single" w:sz="4" w:space="0" w:color="000000"/>
            </w:tcBorders>
          </w:tcPr>
          <w:p w14:paraId="0442E014" w14:textId="77777777"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X6*M</w:t>
            </w:r>
          </w:p>
        </w:tc>
        <w:tc>
          <w:tcPr>
            <w:tcW w:w="989" w:type="dxa"/>
            <w:tcBorders>
              <w:top w:val="dotted" w:sz="4" w:space="0" w:color="000000"/>
              <w:bottom w:val="single" w:sz="4" w:space="0" w:color="000000"/>
            </w:tcBorders>
            <w:vAlign w:val="center"/>
          </w:tcPr>
          <w:p w14:paraId="149B21BB"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-0,004</w:t>
            </w:r>
          </w:p>
        </w:tc>
        <w:tc>
          <w:tcPr>
            <w:tcW w:w="1107" w:type="dxa"/>
            <w:tcBorders>
              <w:top w:val="dotted" w:sz="4" w:space="0" w:color="000000"/>
              <w:bottom w:val="single" w:sz="4" w:space="0" w:color="000000"/>
            </w:tcBorders>
            <w:vAlign w:val="center"/>
          </w:tcPr>
          <w:p w14:paraId="1E69BAD5"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0,052</w:t>
            </w:r>
          </w:p>
        </w:tc>
        <w:tc>
          <w:tcPr>
            <w:tcW w:w="808" w:type="dxa"/>
            <w:tcBorders>
              <w:top w:val="dotted" w:sz="4" w:space="0" w:color="000000"/>
              <w:bottom w:val="single" w:sz="4" w:space="0" w:color="000000"/>
            </w:tcBorders>
            <w:vAlign w:val="center"/>
          </w:tcPr>
          <w:p w14:paraId="5931442F"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-0,087</w:t>
            </w:r>
          </w:p>
        </w:tc>
        <w:tc>
          <w:tcPr>
            <w:tcW w:w="720" w:type="dxa"/>
            <w:tcBorders>
              <w:top w:val="dotted" w:sz="4" w:space="0" w:color="000000"/>
              <w:bottom w:val="single" w:sz="4" w:space="0" w:color="000000"/>
            </w:tcBorders>
            <w:vAlign w:val="center"/>
          </w:tcPr>
          <w:p w14:paraId="5211B1DD"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0,931</w:t>
            </w:r>
          </w:p>
        </w:tc>
        <w:tc>
          <w:tcPr>
            <w:tcW w:w="1126" w:type="dxa"/>
            <w:tcBorders>
              <w:top w:val="dotted" w:sz="4" w:space="0" w:color="000000"/>
              <w:bottom w:val="single" w:sz="4" w:space="0" w:color="000000"/>
            </w:tcBorders>
            <w:vAlign w:val="center"/>
          </w:tcPr>
          <w:p w14:paraId="0BE14F9E"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0,723</w:t>
            </w:r>
          </w:p>
        </w:tc>
        <w:tc>
          <w:tcPr>
            <w:tcW w:w="720" w:type="dxa"/>
            <w:tcBorders>
              <w:top w:val="dotted" w:sz="4" w:space="0" w:color="000000"/>
              <w:bottom w:val="single" w:sz="4" w:space="0" w:color="000000"/>
            </w:tcBorders>
            <w:vAlign w:val="center"/>
          </w:tcPr>
          <w:p w14:paraId="5DB81C31" w14:textId="77777777" w:rsidR="00B5296A" w:rsidRPr="00567893" w:rsidRDefault="00B5296A" w:rsidP="006B554D">
            <w:pPr>
              <w:widowControl w:val="0"/>
              <w:pBdr>
                <w:top w:val="nil"/>
                <w:left w:val="nil"/>
                <w:bottom w:val="nil"/>
                <w:right w:val="nil"/>
                <w:between w:val="nil"/>
              </w:pBdr>
              <w:spacing w:line="240" w:lineRule="auto"/>
              <w:ind w:firstLine="0"/>
              <w:jc w:val="center"/>
              <w:rPr>
                <w:color w:val="000000"/>
                <w:highlight w:val="white"/>
              </w:rPr>
            </w:pPr>
            <w:r w:rsidRPr="00567893">
              <w:rPr>
                <w:color w:val="000000"/>
                <w:highlight w:val="white"/>
              </w:rPr>
              <w:t>1,384</w:t>
            </w:r>
          </w:p>
        </w:tc>
      </w:tr>
      <w:tr w:rsidR="00B5296A" w:rsidRPr="00567893" w14:paraId="7F590A87" w14:textId="77777777" w:rsidTr="00B5296A">
        <w:trPr>
          <w:trHeight w:val="20"/>
          <w:jc w:val="center"/>
        </w:trPr>
        <w:tc>
          <w:tcPr>
            <w:tcW w:w="6702" w:type="dxa"/>
            <w:gridSpan w:val="9"/>
            <w:tcBorders>
              <w:top w:val="single" w:sz="4" w:space="0" w:color="000000"/>
              <w:left w:val="nil"/>
              <w:bottom w:val="nil"/>
              <w:right w:val="nil"/>
            </w:tcBorders>
          </w:tcPr>
          <w:p w14:paraId="56B0719D" w14:textId="53290458"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R = 0,758; R</w:t>
            </w:r>
            <w:r w:rsidRPr="00567893">
              <w:rPr>
                <w:color w:val="000000"/>
                <w:highlight w:val="white"/>
                <w:vertAlign w:val="superscript"/>
              </w:rPr>
              <w:t>2</w:t>
            </w:r>
            <w:r w:rsidRPr="00567893">
              <w:rPr>
                <w:color w:val="000000"/>
                <w:highlight w:val="white"/>
              </w:rPr>
              <w:t xml:space="preserve"> = 0,574; </w:t>
            </w:r>
            <w:r w:rsidRPr="00567893">
              <w:rPr>
                <w:color w:val="000000"/>
              </w:rPr>
              <w:t xml:space="preserve">Adjusted </w:t>
            </w:r>
            <w:r w:rsidRPr="00567893">
              <w:rPr>
                <w:color w:val="000000"/>
                <w:highlight w:val="white"/>
              </w:rPr>
              <w:t>R</w:t>
            </w:r>
            <w:r w:rsidRPr="00567893">
              <w:rPr>
                <w:color w:val="000000"/>
                <w:highlight w:val="white"/>
                <w:vertAlign w:val="superscript"/>
              </w:rPr>
              <w:t>2</w:t>
            </w:r>
            <w:r w:rsidRPr="00567893">
              <w:rPr>
                <w:color w:val="000000"/>
                <w:highlight w:val="white"/>
              </w:rPr>
              <w:t xml:space="preserve"> = 0,543; </w:t>
            </w:r>
            <w:r w:rsidRPr="00567893">
              <w:rPr>
                <w:color w:val="000000"/>
              </w:rPr>
              <w:t>Durbin-Watson = 2,090</w:t>
            </w:r>
          </w:p>
          <w:p w14:paraId="4A03657B" w14:textId="67987CD5" w:rsidR="00B5296A" w:rsidRPr="00567893" w:rsidRDefault="00B5296A" w:rsidP="006B554D">
            <w:pPr>
              <w:widowControl w:val="0"/>
              <w:pBdr>
                <w:top w:val="nil"/>
                <w:left w:val="nil"/>
                <w:bottom w:val="nil"/>
                <w:right w:val="nil"/>
                <w:between w:val="nil"/>
              </w:pBdr>
              <w:spacing w:line="240" w:lineRule="auto"/>
              <w:ind w:firstLine="0"/>
              <w:jc w:val="left"/>
              <w:rPr>
                <w:color w:val="000000"/>
                <w:highlight w:val="white"/>
              </w:rPr>
            </w:pPr>
            <w:r w:rsidRPr="00567893">
              <w:rPr>
                <w:color w:val="000000"/>
                <w:highlight w:val="white"/>
              </w:rPr>
              <w:t>F = 18,165; Sig.= 0,000.</w:t>
            </w:r>
          </w:p>
        </w:tc>
      </w:tr>
    </w:tbl>
    <w:p w14:paraId="6CBA81C5" w14:textId="360C5DDA" w:rsidR="00B5296A" w:rsidRPr="00567893" w:rsidRDefault="00B5296A" w:rsidP="006B554D">
      <w:pPr>
        <w:widowControl w:val="0"/>
        <w:spacing w:line="240" w:lineRule="auto"/>
        <w:rPr>
          <w:sz w:val="24"/>
          <w:szCs w:val="22"/>
        </w:rPr>
      </w:pPr>
      <w:r w:rsidRPr="00567893">
        <w:rPr>
          <w:sz w:val="24"/>
          <w:szCs w:val="22"/>
        </w:rPr>
        <w:t>Based on the results of the multiple regression analysis, the author conducts hypothesis testing for each independent variable. Specifically, Hypotheses H1, H2, H4, H5, and H6 are supported, while Hypothesis H3 is not supported. Hypothesis H7 is partially supported, as government green economic development policies exhibit a moderating effect only on green innovation investment behavior and green capability development investment behavior of FDI enterprises in Hanoi, albeit in opposite directions.</w:t>
      </w:r>
    </w:p>
    <w:p w14:paraId="22317AF4" w14:textId="5AC59481" w:rsidR="00A84AEB" w:rsidRPr="00567893" w:rsidRDefault="00A84AEB"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 xml:space="preserve">3.3. </w:t>
      </w:r>
      <w:r w:rsidR="00B5296A" w:rsidRPr="00567893">
        <w:rPr>
          <w:b/>
          <w:bCs/>
          <w:iCs/>
          <w:color w:val="000000" w:themeColor="text1"/>
          <w:sz w:val="24"/>
          <w:szCs w:val="22"/>
        </w:rPr>
        <w:t>Current status of green investment behavior of FDI enterprises in Hanoi</w:t>
      </w:r>
    </w:p>
    <w:p w14:paraId="3B6A0249" w14:textId="071D59DF" w:rsidR="00AE4FD0" w:rsidRPr="00567893" w:rsidRDefault="00AE4FD0" w:rsidP="006B554D">
      <w:pPr>
        <w:widowControl w:val="0"/>
        <w:spacing w:line="240" w:lineRule="auto"/>
        <w:ind w:firstLine="0"/>
        <w:rPr>
          <w:b/>
          <w:bCs/>
          <w:i/>
          <w:color w:val="000000" w:themeColor="text1"/>
          <w:sz w:val="24"/>
          <w:szCs w:val="22"/>
        </w:rPr>
      </w:pPr>
      <w:r w:rsidRPr="00567893">
        <w:rPr>
          <w:b/>
          <w:bCs/>
          <w:i/>
          <w:color w:val="000000" w:themeColor="text1"/>
          <w:sz w:val="24"/>
          <w:szCs w:val="22"/>
        </w:rPr>
        <w:t xml:space="preserve">3.3.1. </w:t>
      </w:r>
      <w:r w:rsidR="00B5296A" w:rsidRPr="00567893">
        <w:rPr>
          <w:b/>
          <w:bCs/>
          <w:i/>
          <w:color w:val="000000" w:themeColor="text1"/>
          <w:sz w:val="24"/>
          <w:szCs w:val="22"/>
        </w:rPr>
        <w:t>Current status of green innovation investment behavior</w:t>
      </w:r>
    </w:p>
    <w:p w14:paraId="56D2393A" w14:textId="2FA65BA1" w:rsidR="00B5296A" w:rsidRPr="00567893" w:rsidRDefault="00B5296A" w:rsidP="006B554D">
      <w:pPr>
        <w:widowControl w:val="0"/>
        <w:spacing w:line="240" w:lineRule="auto"/>
        <w:rPr>
          <w:sz w:val="24"/>
          <w:szCs w:val="22"/>
        </w:rPr>
      </w:pPr>
      <w:r w:rsidRPr="00567893">
        <w:rPr>
          <w:sz w:val="24"/>
          <w:szCs w:val="22"/>
        </w:rPr>
        <w:t>The research findings indicate that green innovation practices are implemented at a relatively moderate level. Notable activities include the development of products using sustainable materials, improvements in energy- and resource-efficient production processes, and the implementation of green marketing strategies, with an average score of approximately 3.15 out of 5. In contrast, investment in new green technologies and changes in organizational structure and corporate culture remain at an average level, due to resource constraints.</w:t>
      </w:r>
    </w:p>
    <w:p w14:paraId="0D3201D5" w14:textId="5B527E28"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3.3.2. Current status of green capability development investment behavior</w:t>
      </w:r>
    </w:p>
    <w:p w14:paraId="22B0F162" w14:textId="1C15F446" w:rsidR="00B5296A" w:rsidRPr="00567893" w:rsidRDefault="00B5296A" w:rsidP="006B554D">
      <w:pPr>
        <w:widowControl w:val="0"/>
        <w:spacing w:line="240" w:lineRule="auto"/>
        <w:rPr>
          <w:sz w:val="24"/>
          <w:szCs w:val="22"/>
        </w:rPr>
      </w:pPr>
      <w:r w:rsidRPr="00567893">
        <w:rPr>
          <w:sz w:val="24"/>
          <w:szCs w:val="22"/>
        </w:rPr>
        <w:t>FDI enterprises in Hanoi have gradually invested in the development of green capabilities through monitoring the business environment, enhancing skills in identifying green technologies, acquiring and absorbing new knowledge, and strengthening internal coordination. However, the overall level of investment remains moderate, with evaluation scores ranging from 2.81 to 3.06 out of 5, reflecting uneven implementation and notable limitations. Nevertheless, leading FDI enterprises have actively researched and applied green technologies and established effective internal coordination mechanisms.</w:t>
      </w:r>
    </w:p>
    <w:p w14:paraId="3699D262" w14:textId="25C6A724"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3.3.3. Current status of investment in GHRM practices</w:t>
      </w:r>
    </w:p>
    <w:p w14:paraId="235C14BB" w14:textId="77777777" w:rsidR="00B5296A" w:rsidRPr="00567893" w:rsidRDefault="00B5296A" w:rsidP="006B554D">
      <w:pPr>
        <w:widowControl w:val="0"/>
        <w:spacing w:line="240" w:lineRule="auto"/>
        <w:rPr>
          <w:sz w:val="24"/>
          <w:szCs w:val="22"/>
        </w:rPr>
      </w:pPr>
      <w:r w:rsidRPr="00567893">
        <w:rPr>
          <w:sz w:val="24"/>
          <w:szCs w:val="22"/>
        </w:rPr>
        <w:lastRenderedPageBreak/>
        <w:t>FDI enterprises in Hanoi have increasingly emphasized green human resource management, with average survey scores ranging from 2.86 to 3.62 out of 5. Prominent practices include empowering employees to participate in environmental protection initiatives, thereby fostering a green organizational culture. However, recruitment, performance evaluation, and reward systems linked to environmental criteria have been adopted by only a limited number of enterprises, while training and development in green competencies remain constrained due to shortages of specialized expertise, high costs, and irregular implementation.</w:t>
      </w:r>
    </w:p>
    <w:p w14:paraId="308F9E3F" w14:textId="3C8A80F1"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3.3.4. Current status of investment in GSCM practices</w:t>
      </w:r>
    </w:p>
    <w:p w14:paraId="4939BD2D" w14:textId="77777777" w:rsidR="00B5296A" w:rsidRPr="00567893" w:rsidRDefault="00B5296A" w:rsidP="006B554D">
      <w:pPr>
        <w:widowControl w:val="0"/>
        <w:spacing w:line="240" w:lineRule="auto"/>
        <w:rPr>
          <w:sz w:val="24"/>
          <w:szCs w:val="22"/>
        </w:rPr>
      </w:pPr>
      <w:r w:rsidRPr="00567893">
        <w:rPr>
          <w:sz w:val="24"/>
          <w:szCs w:val="22"/>
        </w:rPr>
        <w:t>FDI enterprises in Hanoi have implemented green supply chain management relatively effectively, with average scores exceeding 3 out of 5. These enterprises emphasize environmental objectives throughout the supply chain, from raw material sourcing to waste treatment and product recovery, and prioritize suppliers that adopt clean technologies. Nonetheless, the limited number of suppliers certified under environmental ISO standards poses challenges for supply diversification and leads to higher procurement costs.</w:t>
      </w:r>
    </w:p>
    <w:p w14:paraId="7CBA536F" w14:textId="56D47426"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3.3.5. Current status of investment in environmental CRS practices</w:t>
      </w:r>
    </w:p>
    <w:p w14:paraId="4269B57C" w14:textId="207FB122" w:rsidR="00B5296A" w:rsidRPr="00567893" w:rsidRDefault="00B5296A" w:rsidP="006B554D">
      <w:pPr>
        <w:widowControl w:val="0"/>
        <w:spacing w:line="240" w:lineRule="auto"/>
        <w:rPr>
          <w:sz w:val="24"/>
          <w:szCs w:val="22"/>
        </w:rPr>
      </w:pPr>
      <w:r w:rsidRPr="00567893">
        <w:rPr>
          <w:sz w:val="24"/>
          <w:szCs w:val="22"/>
        </w:rPr>
        <w:t>FDI enterprises in Hanoi have increasingly engaged in environmental corporate social responsibility through charitable activities, social projects, and support for non-governmental organizations, with many large enterprises implementing programs focused on community development and environmental protection. However, participation levels remain uneven, and initiatives are short-term in nature, lacking long-term ESG strategies and coordination with local authorities.</w:t>
      </w:r>
    </w:p>
    <w:p w14:paraId="5982952A" w14:textId="6AF900EA"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3.3.6. Current status of investment in community-oriented CSR practices</w:t>
      </w:r>
    </w:p>
    <w:p w14:paraId="78BB8F1C" w14:textId="78DE89B3" w:rsidR="00B5296A" w:rsidRPr="00567893" w:rsidRDefault="00B5296A" w:rsidP="006B554D">
      <w:pPr>
        <w:widowControl w:val="0"/>
        <w:spacing w:line="240" w:lineRule="auto"/>
        <w:rPr>
          <w:sz w:val="24"/>
          <w:szCs w:val="22"/>
        </w:rPr>
      </w:pPr>
      <w:r w:rsidRPr="00567893">
        <w:rPr>
          <w:sz w:val="24"/>
          <w:szCs w:val="22"/>
        </w:rPr>
        <w:t>FDI enterprises in Hanoi have undertaken community-oriented CSR activities in areas such as environmental protection, healthcare, education, and vocational training, contributing to sustainable development. Nevertheless, long-term commitment remains limited, and green initiatives are often fragmented and unsystematic, underscoring the need for long-term strategies and collaboration with local communities.</w:t>
      </w:r>
    </w:p>
    <w:p w14:paraId="79455E42" w14:textId="6B2319C1" w:rsidR="00D40DAE" w:rsidRPr="00567893" w:rsidRDefault="00595A8A"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 xml:space="preserve">3.4. </w:t>
      </w:r>
      <w:r w:rsidR="00B5296A" w:rsidRPr="00567893">
        <w:rPr>
          <w:b/>
          <w:bCs/>
          <w:iCs/>
          <w:color w:val="000000" w:themeColor="text1"/>
          <w:sz w:val="24"/>
          <w:szCs w:val="22"/>
        </w:rPr>
        <w:t>Analysis of Factors influencing green investment behavior of FDI enterprises in Hanoi</w:t>
      </w:r>
    </w:p>
    <w:p w14:paraId="6A394E05" w14:textId="338A4EE0" w:rsidR="00D40DAE" w:rsidRPr="00567893" w:rsidRDefault="00D40DAE" w:rsidP="006B554D">
      <w:pPr>
        <w:widowControl w:val="0"/>
        <w:spacing w:line="240" w:lineRule="auto"/>
        <w:ind w:firstLine="0"/>
        <w:rPr>
          <w:b/>
          <w:bCs/>
          <w:i/>
          <w:color w:val="000000" w:themeColor="text1"/>
          <w:sz w:val="24"/>
          <w:szCs w:val="22"/>
        </w:rPr>
      </w:pPr>
      <w:r w:rsidRPr="00567893">
        <w:rPr>
          <w:b/>
          <w:bCs/>
          <w:i/>
          <w:color w:val="000000" w:themeColor="text1"/>
          <w:sz w:val="24"/>
          <w:szCs w:val="22"/>
        </w:rPr>
        <w:t xml:space="preserve">3.4.1. </w:t>
      </w:r>
      <w:r w:rsidR="00B5296A" w:rsidRPr="00567893">
        <w:rPr>
          <w:b/>
          <w:bCs/>
          <w:i/>
          <w:color w:val="000000" w:themeColor="text1"/>
          <w:sz w:val="24"/>
          <w:szCs w:val="22"/>
        </w:rPr>
        <w:t>Analysis of factors related to parent company characteristics of FDI enterprises</w:t>
      </w:r>
    </w:p>
    <w:p w14:paraId="27115856" w14:textId="77777777" w:rsidR="00B5296A" w:rsidRPr="00567893" w:rsidRDefault="00B5296A" w:rsidP="006B554D">
      <w:pPr>
        <w:widowControl w:val="0"/>
        <w:spacing w:line="240" w:lineRule="auto"/>
        <w:rPr>
          <w:iCs/>
          <w:color w:val="000000" w:themeColor="text1"/>
          <w:sz w:val="24"/>
          <w:szCs w:val="22"/>
        </w:rPr>
      </w:pPr>
      <w:r w:rsidRPr="00567893">
        <w:rPr>
          <w:iCs/>
          <w:color w:val="000000" w:themeColor="text1"/>
          <w:sz w:val="24"/>
          <w:szCs w:val="22"/>
        </w:rPr>
        <w:lastRenderedPageBreak/>
        <w:t>Awareness of sustainable development and green investment among FDI enterprises in Hanoi has gradually increased, as reflected in the shift toward green growth models and their substantial contributions to GDP, employment, and transformations in production and consumption patterns. Nevertheless, several limitations persist, including uneven levels of awareness, increasing environmental pollution, outdated technologies, limited R&amp;D capacity, and shortages of high-quality human resources.</w:t>
      </w:r>
    </w:p>
    <w:p w14:paraId="66A66877" w14:textId="79B951E6"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3.4.2. Analysis of macro-environmental and industry-specific factors in Hanoi</w:t>
      </w:r>
    </w:p>
    <w:p w14:paraId="110303AB" w14:textId="77777777" w:rsidR="00B5296A" w:rsidRPr="00567893" w:rsidRDefault="00B5296A" w:rsidP="006B554D">
      <w:pPr>
        <w:widowControl w:val="0"/>
        <w:spacing w:line="240" w:lineRule="auto"/>
        <w:rPr>
          <w:iCs/>
          <w:color w:val="000000" w:themeColor="text1"/>
          <w:sz w:val="24"/>
          <w:szCs w:val="22"/>
        </w:rPr>
      </w:pPr>
      <w:r w:rsidRPr="00567893">
        <w:rPr>
          <w:iCs/>
          <w:color w:val="000000" w:themeColor="text1"/>
          <w:sz w:val="24"/>
          <w:szCs w:val="22"/>
        </w:rPr>
        <w:t>Hanoi’s macro-environment is generally conducive to green investment by FDI enterprises, supported by political and legal stability, investment incentives, administrative reforms, a large market size, rapid urbanization, and increasingly developed infrastructure and technological systems. Shifts toward green consumption and socio-cultural transformation further encourage enterprises to adopt environmentally friendly business models. However, constraints related to the availability of high-quality human resources remain a significant challenge.</w:t>
      </w:r>
    </w:p>
    <w:p w14:paraId="7A945A23" w14:textId="3C306497"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3.4.3. Analysis of firm-specific factors of FDI enterprises</w:t>
      </w:r>
    </w:p>
    <w:p w14:paraId="2477075A" w14:textId="116713BE" w:rsidR="00B5296A" w:rsidRPr="00567893" w:rsidRDefault="00B5296A" w:rsidP="006B554D">
      <w:pPr>
        <w:widowControl w:val="0"/>
        <w:spacing w:line="240" w:lineRule="auto"/>
        <w:rPr>
          <w:iCs/>
          <w:color w:val="000000" w:themeColor="text1"/>
          <w:sz w:val="24"/>
          <w:szCs w:val="22"/>
        </w:rPr>
      </w:pPr>
      <w:r w:rsidRPr="00567893">
        <w:rPr>
          <w:iCs/>
          <w:color w:val="000000" w:themeColor="text1"/>
          <w:sz w:val="24"/>
          <w:szCs w:val="22"/>
        </w:rPr>
        <w:t>Firm-specific characteristics significantly influence green investment behavior of FDI enterprises in Hanoi. Wholly foreign-owned enterprises tend to depend heavily on the sustainable development decisions of foreign investors, whereas joint ventures or enterprises with substantial Vietnamese capital participation are generally more conducive to green investment practices. Firm age, brand reputation, and strong financial capacity enable enterprises to sustain green investments even during economic downturns. Notably, a sustainable development strategy integrated with effective governance constitutes a key determinant in ensuring consistent and scalable green investment behavior.</w:t>
      </w:r>
    </w:p>
    <w:p w14:paraId="51558B5C" w14:textId="4728053A" w:rsidR="00B5296A" w:rsidRPr="00567893" w:rsidRDefault="00B5296A"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3.5. Overall assessment of green investment behavior of FDI enterprises in Hanoi</w:t>
      </w:r>
    </w:p>
    <w:p w14:paraId="59D02E79" w14:textId="1CCB75A2"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3.5.1. Strengths and positive impacts</w:t>
      </w:r>
    </w:p>
    <w:p w14:paraId="21F9290D" w14:textId="77777777" w:rsidR="00B5296A" w:rsidRPr="00567893" w:rsidRDefault="00B5296A" w:rsidP="006B554D">
      <w:pPr>
        <w:widowControl w:val="0"/>
        <w:spacing w:line="240" w:lineRule="auto"/>
        <w:rPr>
          <w:iCs/>
          <w:color w:val="000000" w:themeColor="text1"/>
          <w:sz w:val="24"/>
          <w:szCs w:val="22"/>
        </w:rPr>
      </w:pPr>
      <w:r w:rsidRPr="00567893">
        <w:rPr>
          <w:iCs/>
          <w:color w:val="000000" w:themeColor="text1"/>
          <w:sz w:val="24"/>
          <w:szCs w:val="22"/>
        </w:rPr>
        <w:t xml:space="preserve">Green investment behavior of FDI enterprises in Hanoi has generated significant positive economic, social, and environmental impacts. It has contributed to the development of eco-industrial parks, green real estate projects, and improved environmental management in the process of attracting foreign direct investment. Moreover, green-oriented FDI has encouraged domestic enterprises to adopt green and circular economy </w:t>
      </w:r>
      <w:r w:rsidRPr="00567893">
        <w:rPr>
          <w:iCs/>
          <w:color w:val="000000" w:themeColor="text1"/>
          <w:sz w:val="24"/>
          <w:szCs w:val="22"/>
        </w:rPr>
        <w:lastRenderedPageBreak/>
        <w:t>models, thereby supporting the implementation of Vietnam’s commitment to net-zero emissions, improving the urban environment, enhancing resource efficiency, and creating employment opportunities in green sectors. In the long term, Hanoi benefits from more sustainable growth, technology transfer, improved corporate governance, and a strengthened position as an attractive destination for green investment.</w:t>
      </w:r>
    </w:p>
    <w:p w14:paraId="54BA00A3" w14:textId="1249DBC9"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3.5.2. Limitations and negative impacts</w:t>
      </w:r>
    </w:p>
    <w:p w14:paraId="57A97BB5" w14:textId="77777777" w:rsidR="00B5296A" w:rsidRPr="00567893" w:rsidRDefault="00B5296A" w:rsidP="006B554D">
      <w:pPr>
        <w:widowControl w:val="0"/>
        <w:spacing w:line="240" w:lineRule="auto"/>
        <w:rPr>
          <w:iCs/>
          <w:color w:val="000000" w:themeColor="text1"/>
          <w:sz w:val="24"/>
          <w:szCs w:val="22"/>
        </w:rPr>
      </w:pPr>
      <w:r w:rsidRPr="00567893">
        <w:rPr>
          <w:iCs/>
          <w:color w:val="000000" w:themeColor="text1"/>
          <w:sz w:val="24"/>
          <w:szCs w:val="22"/>
        </w:rPr>
        <w:t>Promoting green investment by FDI enterprises in Hanoi faces numerous challenges, including high investment costs, complex technological and managerial requirements, and increasing pressure on both enterprise-level and public infrastructure and financial resources. Constraints related to access to advanced technologies and high-quality human resources hinder effective project implementation. In addition, green investment may generate unequal competitive pressure on domestic enterprises and increase dependence on foreign resources. The prevalence of “greenwashing” practices and limited technology transfer reduce the overall environmental and social effectiveness of such investments, while heightened expectations regarding socio-economic benefits and growing pressure on natural resources pose potential risks to the sustainable development of the Capital.</w:t>
      </w:r>
    </w:p>
    <w:p w14:paraId="2018258C" w14:textId="66C61ABC"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3.5.3. Main causes</w:t>
      </w:r>
    </w:p>
    <w:p w14:paraId="219AE839" w14:textId="1C5AFF46" w:rsidR="00DE28E4" w:rsidRPr="00567893" w:rsidRDefault="00B5296A" w:rsidP="006B554D">
      <w:pPr>
        <w:widowControl w:val="0"/>
        <w:spacing w:line="240" w:lineRule="auto"/>
        <w:rPr>
          <w:iCs/>
          <w:color w:val="000000" w:themeColor="text1"/>
          <w:sz w:val="24"/>
          <w:szCs w:val="22"/>
        </w:rPr>
      </w:pPr>
      <w:r w:rsidRPr="00567893">
        <w:rPr>
          <w:iCs/>
          <w:color w:val="000000" w:themeColor="text1"/>
          <w:sz w:val="24"/>
          <w:szCs w:val="22"/>
        </w:rPr>
        <w:t>Despite an abundant labor supply, shortages in skills required for operating green technologies compel enterprises to incur higher training costs. Awareness of green investment among FDI enterprise leadership remains limited, while incomplete standards and definitions of green FDI complicate investment screening and regulatory oversight. Environmental management remains fragmented, with overlapping legal frameworks, weak enforcement mechanisms, and ineffective post-investment inspections. Furthermore, the dominance of wholly foreign-owned enterprises constrains the spillover of green investment experience, while complex administrative procedures, informal costs, financial and technological constraints, and intense competitive pressures undermine the long-term sustainability of green investment activities.</w:t>
      </w:r>
    </w:p>
    <w:p w14:paraId="2652326E" w14:textId="532EDE49" w:rsidR="00F932A1" w:rsidRPr="00567893" w:rsidRDefault="00567893" w:rsidP="006B554D">
      <w:pPr>
        <w:widowControl w:val="0"/>
        <w:spacing w:line="240" w:lineRule="auto"/>
        <w:jc w:val="center"/>
        <w:rPr>
          <w:b/>
          <w:bCs/>
          <w:iCs/>
          <w:color w:val="000000" w:themeColor="text1"/>
          <w:sz w:val="24"/>
          <w:szCs w:val="22"/>
        </w:rPr>
      </w:pPr>
      <w:r>
        <w:rPr>
          <w:b/>
          <w:bCs/>
          <w:iCs/>
          <w:color w:val="000000" w:themeColor="text1"/>
          <w:sz w:val="24"/>
          <w:szCs w:val="22"/>
        </w:rPr>
        <w:br w:type="column"/>
      </w:r>
      <w:r w:rsidR="00F932A1" w:rsidRPr="00567893">
        <w:rPr>
          <w:b/>
          <w:bCs/>
          <w:iCs/>
          <w:color w:val="000000" w:themeColor="text1"/>
          <w:sz w:val="24"/>
          <w:szCs w:val="22"/>
        </w:rPr>
        <w:lastRenderedPageBreak/>
        <w:t>CHA</w:t>
      </w:r>
      <w:r w:rsidR="00DE28E4" w:rsidRPr="00567893">
        <w:rPr>
          <w:b/>
          <w:bCs/>
          <w:iCs/>
          <w:color w:val="000000" w:themeColor="text1"/>
          <w:sz w:val="24"/>
          <w:szCs w:val="22"/>
        </w:rPr>
        <w:t>PTER 4</w:t>
      </w:r>
      <w:r w:rsidR="00B5296A" w:rsidRPr="00567893">
        <w:rPr>
          <w:b/>
          <w:bCs/>
          <w:iCs/>
          <w:color w:val="000000" w:themeColor="text1"/>
          <w:sz w:val="24"/>
          <w:szCs w:val="22"/>
        </w:rPr>
        <w:t>:</w:t>
      </w:r>
      <w:r w:rsidR="00DE28E4" w:rsidRPr="00567893">
        <w:rPr>
          <w:b/>
          <w:bCs/>
          <w:iCs/>
          <w:color w:val="000000" w:themeColor="text1"/>
          <w:sz w:val="24"/>
          <w:szCs w:val="22"/>
        </w:rPr>
        <w:t xml:space="preserve"> </w:t>
      </w:r>
      <w:r w:rsidR="00B5296A" w:rsidRPr="00567893">
        <w:rPr>
          <w:b/>
          <w:bCs/>
          <w:iCs/>
          <w:color w:val="000000" w:themeColor="text1"/>
          <w:sz w:val="24"/>
          <w:szCs w:val="22"/>
        </w:rPr>
        <w:t>PROPOSED SOLUTIONS AND POLICY RECOMMENDATIONS TO PROMOTE GREEN INVESTMENT BEHAVIOR AMONG FDI ENTERPRISES IN HANOI FOR THE PERIOD 2025–2030, WITH A VISION TO 2050</w:t>
      </w:r>
    </w:p>
    <w:p w14:paraId="24CDF017" w14:textId="199C2F82" w:rsidR="00DE28E4" w:rsidRPr="00567893" w:rsidRDefault="00DE28E4"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 xml:space="preserve">4.1. </w:t>
      </w:r>
      <w:r w:rsidR="00B5296A" w:rsidRPr="00567893">
        <w:rPr>
          <w:b/>
          <w:bCs/>
          <w:iCs/>
          <w:color w:val="000000" w:themeColor="text1"/>
          <w:sz w:val="24"/>
          <w:szCs w:val="22"/>
        </w:rPr>
        <w:t>Context of foreign direct investment in the near future</w:t>
      </w:r>
    </w:p>
    <w:p w14:paraId="611C9B63" w14:textId="1E277DFF"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4.1.1. Global and Vietnam’s trends in green FDI</w:t>
      </w:r>
    </w:p>
    <w:p w14:paraId="14F3412C" w14:textId="09A1BAD0" w:rsidR="00B5296A" w:rsidRPr="00567893" w:rsidRDefault="00B5296A" w:rsidP="006B554D">
      <w:pPr>
        <w:widowControl w:val="0"/>
        <w:spacing w:line="240" w:lineRule="auto"/>
        <w:rPr>
          <w:sz w:val="24"/>
          <w:szCs w:val="22"/>
        </w:rPr>
      </w:pPr>
      <w:r w:rsidRPr="00567893">
        <w:rPr>
          <w:sz w:val="24"/>
          <w:szCs w:val="22"/>
        </w:rPr>
        <w:t>Amid climate change and increasing global uncertainty, international FDI flows have declined and undergone structural shifts; however, green FDI and the green economy have emerged as inevitable trends. Many countries have taken the lead in implementing green development strategies, while Vietnam, with its orientation toward high technology, the circular economy, and an increasingly coherent policy framework, has gradually attracted green FDI, despite the fact that the scale and number of green FDI projects remain limited.</w:t>
      </w:r>
    </w:p>
    <w:p w14:paraId="58C1D714" w14:textId="2C50B7C2" w:rsidR="00B5296A" w:rsidRPr="00567893" w:rsidRDefault="00B5296A" w:rsidP="006B554D">
      <w:pPr>
        <w:widowControl w:val="0"/>
        <w:spacing w:line="240" w:lineRule="auto"/>
        <w:ind w:firstLine="0"/>
        <w:rPr>
          <w:b/>
          <w:bCs/>
          <w:i/>
          <w:color w:val="000000" w:themeColor="text1"/>
          <w:sz w:val="24"/>
          <w:szCs w:val="22"/>
        </w:rPr>
      </w:pPr>
      <w:r w:rsidRPr="00567893">
        <w:rPr>
          <w:b/>
          <w:bCs/>
          <w:i/>
          <w:color w:val="000000" w:themeColor="text1"/>
          <w:sz w:val="24"/>
          <w:szCs w:val="22"/>
        </w:rPr>
        <w:t>4.1.2. Policies and trends in attracting FDI in Hanoi</w:t>
      </w:r>
    </w:p>
    <w:p w14:paraId="3A816B39" w14:textId="01C14148" w:rsidR="00B5296A" w:rsidRPr="00567893" w:rsidRDefault="00B5296A" w:rsidP="006B554D">
      <w:pPr>
        <w:widowControl w:val="0"/>
        <w:spacing w:line="240" w:lineRule="auto"/>
        <w:rPr>
          <w:sz w:val="24"/>
          <w:szCs w:val="22"/>
        </w:rPr>
      </w:pPr>
      <w:r w:rsidRPr="00567893">
        <w:rPr>
          <w:sz w:val="24"/>
          <w:szCs w:val="22"/>
        </w:rPr>
        <w:t>Hanoi needs to pursue a selective FDI attraction strategy through proactive investment promotion, strengthened linkages with multinational corporations, and more effective utilization of free trade agreements. At the same time, the city should further refine its legal and regulatory framework and offer more competitive incentives for large-scale, high-technology, and green investment projects. Administrative procedure reforms, enhanced transparency, and cost reduction remain key determinants of investment attractiveness. In addition, Hanoi should strengthen monitoring and supervision of non-compliant projects while providing timely support to enterprises in addressing operational difficulties.</w:t>
      </w:r>
    </w:p>
    <w:p w14:paraId="1CEA0264" w14:textId="737C7224" w:rsidR="00A472CE" w:rsidRPr="00567893" w:rsidRDefault="00506C4B"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 xml:space="preserve">4.2. </w:t>
      </w:r>
      <w:r w:rsidR="00B72B44" w:rsidRPr="00567893">
        <w:rPr>
          <w:b/>
          <w:bCs/>
          <w:iCs/>
          <w:color w:val="000000" w:themeColor="text1"/>
          <w:sz w:val="24"/>
          <w:szCs w:val="22"/>
        </w:rPr>
        <w:t>Future perspectives and directions for foreign direct investment in Hanoi</w:t>
      </w:r>
    </w:p>
    <w:p w14:paraId="12967A68" w14:textId="17A24207" w:rsidR="00506C4B" w:rsidRPr="00567893" w:rsidRDefault="00506C4B" w:rsidP="006B554D">
      <w:pPr>
        <w:widowControl w:val="0"/>
        <w:spacing w:line="240" w:lineRule="auto"/>
        <w:ind w:firstLine="0"/>
        <w:rPr>
          <w:b/>
          <w:bCs/>
          <w:i/>
          <w:color w:val="000000" w:themeColor="text1"/>
          <w:sz w:val="24"/>
          <w:szCs w:val="22"/>
        </w:rPr>
      </w:pPr>
      <w:r w:rsidRPr="00567893">
        <w:rPr>
          <w:b/>
          <w:bCs/>
          <w:i/>
          <w:color w:val="000000" w:themeColor="text1"/>
          <w:sz w:val="24"/>
          <w:szCs w:val="22"/>
        </w:rPr>
        <w:t xml:space="preserve">4.2.1. </w:t>
      </w:r>
      <w:r w:rsidR="00B72B44" w:rsidRPr="00567893">
        <w:rPr>
          <w:b/>
          <w:bCs/>
          <w:i/>
          <w:color w:val="000000" w:themeColor="text1"/>
          <w:sz w:val="24"/>
          <w:szCs w:val="22"/>
        </w:rPr>
        <w:t>Perspectives on attracting and promoting green investment behavior of FDI enterprises</w:t>
      </w:r>
    </w:p>
    <w:p w14:paraId="2A899931" w14:textId="77777777"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Hanoi should pursue a selective, quality-oriented approach to FDI attraction, prioritizing high-technology projects with high value added and multinational corporations with strong technology spillover potential. The strategic focus should be placed on expanding green technology–oriented FDI, restricting projects with high emissions, and promoting clean energy, environmental services, and green tourism, thereby contributing to environmental protection and sustainable development.</w:t>
      </w:r>
    </w:p>
    <w:p w14:paraId="0EFC8A16" w14:textId="25EB3877"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 xml:space="preserve">4.2.2. Key directions for attracting and promoting green investment </w:t>
      </w:r>
      <w:r w:rsidRPr="00567893">
        <w:rPr>
          <w:b/>
          <w:bCs/>
          <w:i/>
          <w:color w:val="000000" w:themeColor="text1"/>
          <w:sz w:val="24"/>
          <w:szCs w:val="22"/>
        </w:rPr>
        <w:lastRenderedPageBreak/>
        <w:t>behavior of FDI enterprises</w:t>
      </w:r>
    </w:p>
    <w:p w14:paraId="14B9D4CE" w14:textId="7F0C2691"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FDI attraction policies should prioritize high-quality projects employing advanced and environmentally friendly technologies, particularly in clean energy, smart infrastructure, and green-oriented FDI. It is necessary to further refine environmental standards, eliminate obsolete technologies, strictly control the import of polluting machinery and equipment, and design preferential incentive schemes for green, high-technology, and R&amp;D-intensive projects, accompanied by effective environmental responsibility monitoring mechanisms. At the same time, greater emphasis should be placed on the development of high-quality human resources to ensure the effective management and implementation of green FDI projects.</w:t>
      </w:r>
    </w:p>
    <w:p w14:paraId="626C00FE" w14:textId="4E69A545" w:rsidR="00AE2E04" w:rsidRPr="00567893" w:rsidRDefault="00AE2E04"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 xml:space="preserve">4.3. </w:t>
      </w:r>
      <w:r w:rsidR="00B72B44" w:rsidRPr="00567893">
        <w:rPr>
          <w:b/>
          <w:bCs/>
          <w:iCs/>
          <w:color w:val="000000" w:themeColor="text1"/>
          <w:sz w:val="24"/>
          <w:szCs w:val="22"/>
        </w:rPr>
        <w:t>Solutions to promote green investment behavior of FDI enterprises in Hanoi</w:t>
      </w:r>
    </w:p>
    <w:p w14:paraId="3FD1D253" w14:textId="3041E773"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4.3.1. Solutions to promote green innovation investment behavior</w:t>
      </w:r>
    </w:p>
    <w:p w14:paraId="62DB6D28" w14:textId="77777777"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FDI enterprises and the Hanoi authorities should coordinate to improve infrastructure systems related to electricity, water supply, and waste treatment, while encouraging the use of renewable energy and smart grid technologies. In parallel, administrative procedures should be streamlined, with priority given to fast-track licensing and support for enterprises in accessing environmental standards and green investment incentives. The city should also enhance information provision, credit access, tax incentives, and technical guidance for FDI enterprises. Finally, fostering R&amp;D collaboration and green technological innovation, together with consideration of establishing a Green Innovation Fund, would provide strong support for sustainable investment.</w:t>
      </w:r>
    </w:p>
    <w:p w14:paraId="2E2C9687" w14:textId="32695DA8"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4.3.2. Solutions to promote green capability investment behavior</w:t>
      </w:r>
    </w:p>
    <w:p w14:paraId="759CF1C1" w14:textId="77777777"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 xml:space="preserve">FDI enterprises in Hanoi should focus on enhancing awareness, managerial capacity, and information sharing. First, enterprises need to strengthen market research and forecasting of green consumption trends, while reshaping leadership mindsets toward recognizing green transformation as an inevitable development pathway. Moreover, environmental objectives should be integrated into corporate governance through green KPIs, ESG frameworks, and advanced management models, supported by digital technologies for emissions measurement and monitoring. In parallel, enterprises should intensify green human resource training to improve managerial and technical capabilities. Finally, regularly </w:t>
      </w:r>
      <w:r w:rsidRPr="00567893">
        <w:rPr>
          <w:iCs/>
          <w:color w:val="000000" w:themeColor="text1"/>
          <w:sz w:val="24"/>
          <w:szCs w:val="22"/>
        </w:rPr>
        <w:lastRenderedPageBreak/>
        <w:t>updating policy information and establishing networks for sharing best practices will enable FDI enterprises to better exploit green investment opportunities and achieve sustainable development.</w:t>
      </w:r>
    </w:p>
    <w:p w14:paraId="33A516A9" w14:textId="42A64715"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4.3.3. Solutions to promote GHRM practices</w:t>
      </w:r>
    </w:p>
    <w:p w14:paraId="7B338651" w14:textId="77777777"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FDI enterprises in Hanoi should implement a synchronized set of measures covering recruitment, training, and organizational culture development. Priority should be given to recruiting green-oriented professional positions and integrating environmental criteria into recruitment processes, thereby building a green employer brand. At the same time, enterprises should invest in enhancing employees’ green skills through regular training programs and linking green behaviors to performance evaluation and reward systems. In addition, embedding sustainability objectives into human resource policies, encouraging employees to propose green initiatives, and establishing appropriate recognition mechanisms will strengthen internal commitment to green practices.</w:t>
      </w:r>
    </w:p>
    <w:p w14:paraId="6F1FB08B" w14:textId="55188A95"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4.3.4. Solutions to promote GSCM practices</w:t>
      </w:r>
    </w:p>
    <w:p w14:paraId="6FDD99BC" w14:textId="77777777"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FDI enterprises in Hanoi should simultaneously support and screen suppliers based on environmental standards. Initially, the number of green suppliers should be expanded through financial support, training, and dissemination of environmental standards, enabling suppliers to upgrade technologies and emissions management systems. FDI enterprises should develop clear criteria for green supplier selection, require environmental certifications and ESG commitments, and conduct regular monitoring. Furthermore, the application of traceability technologies, product life-cycle management, and green logistics optimization will contribute to emissions reduction. Promoting green linkages and alliances between FDI enterprises and domestic firms, along with targeted training for supply chain management personnel, will enhance cooperation efficiency and advance sustainable development.</w:t>
      </w:r>
    </w:p>
    <w:p w14:paraId="26FD31CF" w14:textId="685C14B8"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4.3.5. Solutions to promote environmental CSR practices</w:t>
      </w:r>
    </w:p>
    <w:p w14:paraId="14648094" w14:textId="77777777"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 xml:space="preserve">FDI enterprises in Hanoi should formulate long-term environmental CSR strategies that integrate energy efficiency and emissions reduction objectives into their overall sustainable development orientation. On this basis, enterprises should develop concrete plans regarding budgets, timelines, activities, and evaluation indicators, while establishing dedicated units to coordinate implementation. Encouraging the participation of </w:t>
      </w:r>
      <w:r w:rsidRPr="00567893">
        <w:rPr>
          <w:iCs/>
          <w:color w:val="000000" w:themeColor="text1"/>
          <w:sz w:val="24"/>
          <w:szCs w:val="22"/>
        </w:rPr>
        <w:lastRenderedPageBreak/>
        <w:t>employees and suppliers, together with close cooperation with government agencies and social organizations, will enhance the effectiveness of CSR initiatives. In addition, transparent communication and diversification of implementation approaches are essential to amplify community impact. Finally, strengthening the legal framework and strictly enforcing sanctions against environmental violations are critical conditions for ensuring accountability and sustainability among FDI enterprises.</w:t>
      </w:r>
    </w:p>
    <w:p w14:paraId="5987B995" w14:textId="43A17B8E" w:rsidR="00B72B44" w:rsidRPr="00567893" w:rsidRDefault="00B72B44" w:rsidP="006B554D">
      <w:pPr>
        <w:widowControl w:val="0"/>
        <w:spacing w:line="240" w:lineRule="auto"/>
        <w:ind w:firstLine="0"/>
        <w:rPr>
          <w:b/>
          <w:bCs/>
          <w:i/>
          <w:color w:val="000000" w:themeColor="text1"/>
          <w:sz w:val="24"/>
          <w:szCs w:val="22"/>
        </w:rPr>
      </w:pPr>
      <w:r w:rsidRPr="00567893">
        <w:rPr>
          <w:b/>
          <w:bCs/>
          <w:i/>
          <w:color w:val="000000" w:themeColor="text1"/>
          <w:sz w:val="24"/>
          <w:szCs w:val="22"/>
        </w:rPr>
        <w:t>4.3.6. Solutions to promote community-oriented CSR practices</w:t>
      </w:r>
    </w:p>
    <w:p w14:paraId="0E4EB528" w14:textId="37988113" w:rsidR="00B72B44" w:rsidRPr="00567893" w:rsidRDefault="00B72B44" w:rsidP="006B554D">
      <w:pPr>
        <w:widowControl w:val="0"/>
        <w:spacing w:line="240" w:lineRule="auto"/>
        <w:rPr>
          <w:iCs/>
          <w:color w:val="000000" w:themeColor="text1"/>
          <w:sz w:val="24"/>
          <w:szCs w:val="22"/>
        </w:rPr>
      </w:pPr>
      <w:r w:rsidRPr="00567893">
        <w:rPr>
          <w:iCs/>
          <w:color w:val="000000" w:themeColor="text1"/>
          <w:sz w:val="24"/>
          <w:szCs w:val="22"/>
        </w:rPr>
        <w:t>FDI enterprises in Hanoi should intensify their engagement in community-oriented CSR through cooperation with educational institutions, healthcare providers, and local businesses. Specifically, partnerships in practice-based training, scholarship provision, and environmental research will help develop a workforce capable of supporting green production and sustainable development. At the same time, enterprises should invest in community healthcare, improve social welfare, and enhance the quality of life of residents, particularly in industrial zones and disadvantaged areas. Moreover, strengthening linkages with local small and medium-sized enterprises will facilitate the development of sustainable value chains and support green technology transfer. Philanthropic activities, infrastructure development, and cultural preservation initiatives should be aligned with corporate branding strategies to reinforce long-term commitment and enhance the image of green enterprises.</w:t>
      </w:r>
    </w:p>
    <w:p w14:paraId="180DB51F" w14:textId="446998FE" w:rsidR="00793672" w:rsidRPr="00567893" w:rsidRDefault="00793672" w:rsidP="006B554D">
      <w:pPr>
        <w:widowControl w:val="0"/>
        <w:spacing w:line="240" w:lineRule="auto"/>
        <w:ind w:firstLine="0"/>
        <w:rPr>
          <w:b/>
          <w:bCs/>
          <w:iCs/>
          <w:color w:val="000000" w:themeColor="text1"/>
          <w:sz w:val="24"/>
          <w:szCs w:val="22"/>
        </w:rPr>
      </w:pPr>
      <w:r w:rsidRPr="00567893">
        <w:rPr>
          <w:b/>
          <w:bCs/>
          <w:iCs/>
          <w:color w:val="000000" w:themeColor="text1"/>
          <w:sz w:val="24"/>
          <w:szCs w:val="22"/>
        </w:rPr>
        <w:t xml:space="preserve">4.4. </w:t>
      </w:r>
      <w:r w:rsidR="00A93E6E" w:rsidRPr="00567893">
        <w:rPr>
          <w:b/>
          <w:bCs/>
          <w:iCs/>
          <w:color w:val="000000" w:themeColor="text1"/>
          <w:sz w:val="24"/>
          <w:szCs w:val="22"/>
        </w:rPr>
        <w:t>Policy recommendations</w:t>
      </w:r>
    </w:p>
    <w:p w14:paraId="433D4EA7" w14:textId="6B912287" w:rsidR="00725CD2" w:rsidRPr="00567893" w:rsidRDefault="00725CD2" w:rsidP="006B554D">
      <w:pPr>
        <w:widowControl w:val="0"/>
        <w:spacing w:line="240" w:lineRule="auto"/>
        <w:ind w:firstLine="0"/>
        <w:rPr>
          <w:b/>
          <w:bCs/>
          <w:i/>
          <w:color w:val="000000" w:themeColor="text1"/>
          <w:sz w:val="24"/>
          <w:szCs w:val="22"/>
        </w:rPr>
      </w:pPr>
      <w:r w:rsidRPr="00567893">
        <w:rPr>
          <w:b/>
          <w:bCs/>
          <w:i/>
          <w:color w:val="000000" w:themeColor="text1"/>
          <w:sz w:val="24"/>
          <w:szCs w:val="22"/>
        </w:rPr>
        <w:t>4.4.1. Prioritized roadmap and implementation conditions for the proposed solutions</w:t>
      </w:r>
    </w:p>
    <w:p w14:paraId="21FF43FF" w14:textId="62AF4C7B" w:rsidR="00725CD2" w:rsidRPr="00567893" w:rsidRDefault="00725CD2" w:rsidP="006B554D">
      <w:pPr>
        <w:widowControl w:val="0"/>
        <w:spacing w:line="240" w:lineRule="auto"/>
        <w:rPr>
          <w:iCs/>
          <w:color w:val="000000" w:themeColor="text1"/>
          <w:sz w:val="24"/>
          <w:szCs w:val="22"/>
        </w:rPr>
      </w:pPr>
      <w:r w:rsidRPr="00567893">
        <w:rPr>
          <w:iCs/>
          <w:color w:val="000000" w:themeColor="text1"/>
          <w:sz w:val="24"/>
          <w:szCs w:val="22"/>
        </w:rPr>
        <w:t xml:space="preserve">- </w:t>
      </w:r>
      <w:r w:rsidRPr="00567893">
        <w:rPr>
          <w:i/>
          <w:color w:val="000000" w:themeColor="text1"/>
          <w:sz w:val="24"/>
          <w:szCs w:val="22"/>
        </w:rPr>
        <w:t>Prioritized roadmap for the implementation of proposed solutions</w:t>
      </w:r>
      <w:r w:rsidRPr="00567893">
        <w:rPr>
          <w:iCs/>
          <w:color w:val="000000" w:themeColor="text1"/>
          <w:sz w:val="24"/>
          <w:szCs w:val="22"/>
        </w:rPr>
        <w:t xml:space="preserve">: The proposed solutions should be implemented according to a prioritized roadmap to ensure feasibility and effectiveness. In the short term, policy efforts should focus on administrative reform, raising awareness, and supporting firms in accessing environmental standards, thereby establishing an institutional and cognitive foundation for green investment. In the medium term, priorities shift toward integrating environmental objectives into corporate governance, developing green human capital, upgrading technology, and building green supply chains with strong coordination from local authorities. In the long term, the emphasis should be on establishing a sustainable green investment ecosystem through the </w:t>
      </w:r>
      <w:r w:rsidRPr="00567893">
        <w:rPr>
          <w:iCs/>
          <w:color w:val="000000" w:themeColor="text1"/>
          <w:sz w:val="24"/>
          <w:szCs w:val="22"/>
        </w:rPr>
        <w:lastRenderedPageBreak/>
        <w:t>development of green industrial clusters, sustainable green finance mechanisms, and the integration of environmental responsibility into FDI firms’ strategic orientation.</w:t>
      </w:r>
    </w:p>
    <w:p w14:paraId="352357E5" w14:textId="70C3C67E" w:rsidR="00725CD2" w:rsidRPr="00567893" w:rsidRDefault="00725CD2" w:rsidP="006B554D">
      <w:pPr>
        <w:widowControl w:val="0"/>
        <w:spacing w:line="240" w:lineRule="auto"/>
        <w:rPr>
          <w:iCs/>
          <w:color w:val="000000" w:themeColor="text1"/>
          <w:sz w:val="24"/>
          <w:szCs w:val="22"/>
        </w:rPr>
      </w:pPr>
      <w:r w:rsidRPr="00567893">
        <w:rPr>
          <w:iCs/>
          <w:color w:val="000000" w:themeColor="text1"/>
          <w:sz w:val="24"/>
          <w:szCs w:val="22"/>
        </w:rPr>
        <w:t xml:space="preserve">- </w:t>
      </w:r>
      <w:r w:rsidRPr="00567893">
        <w:rPr>
          <w:i/>
          <w:color w:val="000000" w:themeColor="text1"/>
          <w:sz w:val="24"/>
          <w:szCs w:val="22"/>
        </w:rPr>
        <w:t>Implementation conditions for the proposed solutions</w:t>
      </w:r>
      <w:r w:rsidRPr="00567893">
        <w:rPr>
          <w:iCs/>
          <w:color w:val="000000" w:themeColor="text1"/>
          <w:sz w:val="24"/>
          <w:szCs w:val="22"/>
        </w:rPr>
        <w:t>:</w:t>
      </w:r>
      <w:r w:rsidR="008A12A3" w:rsidRPr="00567893">
        <w:rPr>
          <w:iCs/>
          <w:color w:val="000000" w:themeColor="text1"/>
          <w:sz w:val="24"/>
          <w:szCs w:val="22"/>
        </w:rPr>
        <w:t xml:space="preserve"> The implementation of solutions to promote green investment behavior among FDI enterprises primarily depends on a stable and transparent institutional framework, effective local governance capacity, strong inter-agency coordination, and the active engagement of business associations in translating policy orientations into concrete actions. In terms of resources, a flexible combination of public and private funding is required, with the state budget serving as seed capital for institutional reform, capacity building, and shared infrastructure, while the main financial resources for green technology, innovation, and supply chain development should derive from enterprises, the banking system, and international organizations; tailored financial mechanisms are also necessary to support small and medium-sized FDI firms. High-quality human resources in environmental management, green technology, and ESG constitute another critical condition.</w:t>
      </w:r>
    </w:p>
    <w:p w14:paraId="07C75097" w14:textId="398D40A3" w:rsidR="00A93E6E" w:rsidRPr="00567893" w:rsidRDefault="00A93E6E" w:rsidP="006B554D">
      <w:pPr>
        <w:widowControl w:val="0"/>
        <w:spacing w:line="240" w:lineRule="auto"/>
        <w:ind w:firstLine="0"/>
        <w:rPr>
          <w:b/>
          <w:bCs/>
          <w:i/>
          <w:color w:val="000000" w:themeColor="text1"/>
          <w:sz w:val="24"/>
          <w:szCs w:val="22"/>
        </w:rPr>
      </w:pPr>
      <w:r w:rsidRPr="00567893">
        <w:rPr>
          <w:b/>
          <w:bCs/>
          <w:i/>
          <w:color w:val="000000" w:themeColor="text1"/>
          <w:sz w:val="24"/>
          <w:szCs w:val="22"/>
        </w:rPr>
        <w:t>4.4.</w:t>
      </w:r>
      <w:r w:rsidR="00725CD2" w:rsidRPr="00567893">
        <w:rPr>
          <w:b/>
          <w:bCs/>
          <w:i/>
          <w:color w:val="000000" w:themeColor="text1"/>
          <w:sz w:val="24"/>
          <w:szCs w:val="22"/>
        </w:rPr>
        <w:t>2</w:t>
      </w:r>
      <w:r w:rsidRPr="00567893">
        <w:rPr>
          <w:b/>
          <w:bCs/>
          <w:i/>
          <w:color w:val="000000" w:themeColor="text1"/>
          <w:sz w:val="24"/>
          <w:szCs w:val="22"/>
        </w:rPr>
        <w:t>. Recommendations for the Government</w:t>
      </w:r>
    </w:p>
    <w:p w14:paraId="27791C9B" w14:textId="77777777" w:rsidR="00A93E6E" w:rsidRPr="00567893" w:rsidRDefault="00A93E6E" w:rsidP="006B554D">
      <w:pPr>
        <w:widowControl w:val="0"/>
        <w:spacing w:line="240" w:lineRule="auto"/>
        <w:rPr>
          <w:iCs/>
          <w:color w:val="000000" w:themeColor="text1"/>
          <w:sz w:val="24"/>
          <w:szCs w:val="22"/>
        </w:rPr>
      </w:pPr>
      <w:r w:rsidRPr="00567893">
        <w:rPr>
          <w:iCs/>
          <w:color w:val="000000" w:themeColor="text1"/>
          <w:sz w:val="24"/>
          <w:szCs w:val="22"/>
        </w:rPr>
        <w:t>The Government should orient FDI attraction toward selectivity, firmly rejecting projects that jeopardize environmental sustainability, natural resources, and long-term development, while restructuring the economy in association with sustainable human resource development and infrastructure upgrading. The legal framework governing investment and environmental protection must be completed, harmonized, and strictly enforced, incorporating green standards, tax–fee instruments, and strong sanctions for violations. The Government should prioritize the attraction of high-technology FDI, promote green technology transfer, and strengthen appraisal and monitoring capacity. In addition, incentive mechanisms for green investment, renewable energy infrastructure development, administrative reform, and transparency should be enhanced. Communication, rewards, and strict penalties should be used to encourage sustainable FDI practices.</w:t>
      </w:r>
    </w:p>
    <w:p w14:paraId="186E0297" w14:textId="38EBEE84" w:rsidR="00A93E6E" w:rsidRPr="00567893" w:rsidRDefault="00A93E6E" w:rsidP="006B554D">
      <w:pPr>
        <w:widowControl w:val="0"/>
        <w:spacing w:line="240" w:lineRule="auto"/>
        <w:ind w:firstLine="0"/>
        <w:rPr>
          <w:b/>
          <w:bCs/>
          <w:i/>
          <w:color w:val="000000" w:themeColor="text1"/>
          <w:sz w:val="24"/>
          <w:szCs w:val="22"/>
        </w:rPr>
      </w:pPr>
      <w:r w:rsidRPr="00567893">
        <w:rPr>
          <w:b/>
          <w:bCs/>
          <w:i/>
          <w:color w:val="000000" w:themeColor="text1"/>
          <w:sz w:val="24"/>
          <w:szCs w:val="22"/>
        </w:rPr>
        <w:t>4.4.</w:t>
      </w:r>
      <w:r w:rsidR="00725CD2" w:rsidRPr="00567893">
        <w:rPr>
          <w:b/>
          <w:bCs/>
          <w:i/>
          <w:color w:val="000000" w:themeColor="text1"/>
          <w:sz w:val="24"/>
          <w:szCs w:val="22"/>
        </w:rPr>
        <w:t>3</w:t>
      </w:r>
      <w:r w:rsidRPr="00567893">
        <w:rPr>
          <w:b/>
          <w:bCs/>
          <w:i/>
          <w:color w:val="000000" w:themeColor="text1"/>
          <w:sz w:val="24"/>
          <w:szCs w:val="22"/>
        </w:rPr>
        <w:t>. Recommendations for Hanoi City</w:t>
      </w:r>
    </w:p>
    <w:p w14:paraId="1BA20923" w14:textId="5416B62A" w:rsidR="00A93E6E" w:rsidRPr="00567893" w:rsidRDefault="00A93E6E" w:rsidP="006B554D">
      <w:pPr>
        <w:widowControl w:val="0"/>
        <w:spacing w:line="240" w:lineRule="auto"/>
        <w:rPr>
          <w:iCs/>
          <w:color w:val="000000" w:themeColor="text1"/>
          <w:sz w:val="24"/>
          <w:szCs w:val="22"/>
        </w:rPr>
      </w:pPr>
      <w:r w:rsidRPr="00567893">
        <w:rPr>
          <w:iCs/>
          <w:color w:val="000000" w:themeColor="text1"/>
          <w:sz w:val="24"/>
          <w:szCs w:val="22"/>
        </w:rPr>
        <w:t xml:space="preserve">The Hanoi People’s Committee should strengthen the management, screening, and strict monitoring of FDI projects according to approved planning, resolutely addressing and refusing extension of environmentally </w:t>
      </w:r>
      <w:r w:rsidRPr="00567893">
        <w:rPr>
          <w:iCs/>
          <w:color w:val="000000" w:themeColor="text1"/>
          <w:sz w:val="24"/>
          <w:szCs w:val="22"/>
        </w:rPr>
        <w:lastRenderedPageBreak/>
        <w:t>harmful or resource-inefficient projects, while orienting towards clean technologies and deep processing. The city needs to formulate a strategy for high-quality human resource development, reform training programs to meet green technology needs, and promote cooperation between FDI enterprises and educational institutions. Concurrently, Hanoi should prioritize green FDI attraction, strictly control technology, protect natural resources, and develop infrastructure and renewable energy. Administrative reform, investment environment transparency, intensified policy communication, and assistance for green transition should be strengthened.</w:t>
      </w:r>
    </w:p>
    <w:p w14:paraId="259F5640" w14:textId="3FBD19F8" w:rsidR="00A93E6E" w:rsidRPr="00567893" w:rsidRDefault="00A93E6E" w:rsidP="006B554D">
      <w:pPr>
        <w:widowControl w:val="0"/>
        <w:spacing w:line="240" w:lineRule="auto"/>
        <w:ind w:firstLine="0"/>
        <w:rPr>
          <w:b/>
          <w:bCs/>
          <w:i/>
          <w:color w:val="000000" w:themeColor="text1"/>
          <w:sz w:val="24"/>
          <w:szCs w:val="22"/>
        </w:rPr>
      </w:pPr>
      <w:r w:rsidRPr="00567893">
        <w:rPr>
          <w:b/>
          <w:bCs/>
          <w:i/>
          <w:color w:val="000000" w:themeColor="text1"/>
          <w:sz w:val="24"/>
          <w:szCs w:val="22"/>
        </w:rPr>
        <w:t>4.4.</w:t>
      </w:r>
      <w:r w:rsidR="00725CD2" w:rsidRPr="00567893">
        <w:rPr>
          <w:b/>
          <w:bCs/>
          <w:i/>
          <w:color w:val="000000" w:themeColor="text1"/>
          <w:sz w:val="24"/>
          <w:szCs w:val="22"/>
        </w:rPr>
        <w:t>4</w:t>
      </w:r>
      <w:r w:rsidRPr="00567893">
        <w:rPr>
          <w:b/>
          <w:bCs/>
          <w:i/>
          <w:color w:val="000000" w:themeColor="text1"/>
          <w:sz w:val="24"/>
          <w:szCs w:val="22"/>
        </w:rPr>
        <w:t>. Recommendations for the FDI Business Association</w:t>
      </w:r>
    </w:p>
    <w:p w14:paraId="1CA0C469" w14:textId="548381C8" w:rsidR="00A93E6E" w:rsidRPr="00567893" w:rsidRDefault="00A93E6E" w:rsidP="006B554D">
      <w:pPr>
        <w:widowControl w:val="0"/>
        <w:spacing w:line="240" w:lineRule="auto"/>
        <w:rPr>
          <w:iCs/>
          <w:color w:val="000000" w:themeColor="text1"/>
          <w:sz w:val="24"/>
          <w:szCs w:val="22"/>
        </w:rPr>
      </w:pPr>
      <w:r w:rsidRPr="00567893">
        <w:rPr>
          <w:iCs/>
          <w:color w:val="000000" w:themeColor="text1"/>
          <w:sz w:val="24"/>
          <w:szCs w:val="22"/>
        </w:rPr>
        <w:t>The Association of Foreign-Invested Enterprises in Hanoi should capitalize on its role in coordination and leadership to promote green investment by enhancing communication, training, and awareness-raising among FDI firms regarding sustainable development and environmental protection. The association may organize forums, workshops, and domestic and overseas surveys to share experience and access advanced technologies and green investment models, while supporting firms in complying with environmental regulations. Additionally, the association should actively contribute to policy consultations, advocate for green investment incentives, expand international cooperation, and strengthen linkages with research institutes and experts. Supporting green technology adoption, establishing innovation centers, and providing information and training for both management and workers will contribute to accelerating the greening of FDI in Hanoi.</w:t>
      </w:r>
    </w:p>
    <w:p w14:paraId="55226E8C" w14:textId="4812809E" w:rsidR="000A30AC" w:rsidRPr="00567893" w:rsidRDefault="00567893" w:rsidP="006B554D">
      <w:pPr>
        <w:widowControl w:val="0"/>
        <w:spacing w:line="240" w:lineRule="auto"/>
        <w:jc w:val="center"/>
        <w:rPr>
          <w:b/>
          <w:bCs/>
          <w:iCs/>
          <w:color w:val="000000" w:themeColor="text1"/>
          <w:sz w:val="24"/>
          <w:szCs w:val="22"/>
        </w:rPr>
      </w:pPr>
      <w:r>
        <w:rPr>
          <w:b/>
          <w:bCs/>
          <w:iCs/>
          <w:color w:val="000000" w:themeColor="text1"/>
          <w:sz w:val="24"/>
          <w:szCs w:val="22"/>
        </w:rPr>
        <w:br w:type="column"/>
      </w:r>
      <w:r w:rsidR="00661D5B" w:rsidRPr="00567893">
        <w:rPr>
          <w:b/>
          <w:bCs/>
          <w:iCs/>
          <w:color w:val="000000" w:themeColor="text1"/>
          <w:sz w:val="24"/>
          <w:szCs w:val="22"/>
        </w:rPr>
        <w:lastRenderedPageBreak/>
        <w:t>CONCLUSTION</w:t>
      </w:r>
    </w:p>
    <w:p w14:paraId="72618091" w14:textId="77777777" w:rsidR="00A93E6E" w:rsidRPr="00567893" w:rsidRDefault="00A93E6E" w:rsidP="006B554D">
      <w:pPr>
        <w:widowControl w:val="0"/>
        <w:spacing w:line="240" w:lineRule="auto"/>
        <w:rPr>
          <w:iCs/>
          <w:color w:val="000000" w:themeColor="text1"/>
          <w:sz w:val="24"/>
          <w:szCs w:val="22"/>
        </w:rPr>
      </w:pPr>
      <w:r w:rsidRPr="00567893">
        <w:rPr>
          <w:iCs/>
          <w:color w:val="000000" w:themeColor="text1"/>
          <w:sz w:val="24"/>
          <w:szCs w:val="22"/>
        </w:rPr>
        <w:t>The dissertation adopts a systematic approach to examining green investment behavior among FDI enterprises in Hanoi, moving from the theoretical foundation to the development of an analytical framework comprising six core behavioral groups. Based on this foundation, the study constructs a research model and hypotheses regarding the impact of green investment behaviors on FDI firms’ performance, while also analyzing practical experiences from major corporations in Indonesia, China, India, and Malaysia in order to derive lessons applicable to Vietnam and Hanoi.</w:t>
      </w:r>
    </w:p>
    <w:p w14:paraId="5C70EADB" w14:textId="72A125DE" w:rsidR="00A93E6E" w:rsidRPr="00567893" w:rsidRDefault="00A93E6E" w:rsidP="006B554D">
      <w:pPr>
        <w:widowControl w:val="0"/>
        <w:spacing w:line="240" w:lineRule="auto"/>
        <w:rPr>
          <w:iCs/>
          <w:color w:val="000000" w:themeColor="text1"/>
          <w:sz w:val="24"/>
          <w:szCs w:val="22"/>
        </w:rPr>
      </w:pPr>
      <w:r w:rsidRPr="00567893">
        <w:rPr>
          <w:iCs/>
          <w:color w:val="000000" w:themeColor="text1"/>
          <w:sz w:val="24"/>
          <w:szCs w:val="22"/>
        </w:rPr>
        <w:t>The research findings affirm positive shifts in the adoption of green investment behaviors, particularly in sustainable product development, recycling practices, and employee engagement. However, limitations remain in terms of capital, technological capabilities, human resources, and policy support, resulting in uneven levels of commitment across enterprises. Accordingly, the dissertation proposes solutions for FDI enterprises and provides policy recommendations for the Government, Hanoi authorities, and business associations to promote green investment during the period 2025–2030, with a vision toward 2050. In both academic and practical terms, the dissertation contributes a theoretical framework, empirical model, experimental evidence, and a system of actionable solutions that offer valuable implications for management and policymaking.</w:t>
      </w:r>
    </w:p>
    <w:p w14:paraId="7BD32964" w14:textId="77777777" w:rsidR="00A93E6E" w:rsidRPr="00567893" w:rsidRDefault="00A93E6E" w:rsidP="006B554D">
      <w:pPr>
        <w:widowControl w:val="0"/>
        <w:spacing w:line="240" w:lineRule="auto"/>
        <w:rPr>
          <w:iCs/>
          <w:color w:val="000000" w:themeColor="text1"/>
          <w:sz w:val="24"/>
          <w:szCs w:val="22"/>
        </w:rPr>
      </w:pPr>
    </w:p>
    <w:p w14:paraId="1E37CCFC" w14:textId="267686DA" w:rsidR="00285FF5" w:rsidRPr="00567893" w:rsidRDefault="00285FF5" w:rsidP="006B554D">
      <w:pPr>
        <w:widowControl w:val="0"/>
        <w:spacing w:line="240" w:lineRule="auto"/>
        <w:jc w:val="center"/>
        <w:rPr>
          <w:b/>
          <w:bCs/>
          <w:iCs/>
          <w:color w:val="000000" w:themeColor="text1"/>
          <w:sz w:val="24"/>
          <w:szCs w:val="22"/>
        </w:rPr>
      </w:pPr>
      <w:r w:rsidRPr="00567893">
        <w:rPr>
          <w:b/>
          <w:bCs/>
          <w:iCs/>
          <w:color w:val="000000" w:themeColor="text1"/>
          <w:sz w:val="24"/>
          <w:szCs w:val="22"/>
        </w:rPr>
        <w:t>REFERENCES LIST</w:t>
      </w:r>
    </w:p>
    <w:p w14:paraId="43C51E90" w14:textId="3A1E9B99" w:rsidR="00051616" w:rsidRPr="00567893" w:rsidRDefault="00285FF5" w:rsidP="006B554D">
      <w:pPr>
        <w:widowControl w:val="0"/>
        <w:spacing w:line="240" w:lineRule="auto"/>
        <w:jc w:val="center"/>
        <w:rPr>
          <w:b/>
          <w:bCs/>
          <w:iCs/>
          <w:color w:val="000000" w:themeColor="text1"/>
          <w:sz w:val="24"/>
          <w:szCs w:val="22"/>
        </w:rPr>
      </w:pPr>
      <w:r w:rsidRPr="00567893">
        <w:rPr>
          <w:b/>
          <w:bCs/>
          <w:iCs/>
          <w:color w:val="000000" w:themeColor="text1"/>
          <w:sz w:val="24"/>
          <w:szCs w:val="22"/>
        </w:rPr>
        <w:t>APPENDIX</w:t>
      </w:r>
    </w:p>
    <w:p w14:paraId="79AC63F1" w14:textId="77777777" w:rsidR="00051616" w:rsidRPr="006B554D" w:rsidRDefault="00051616" w:rsidP="006B554D">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jc w:val="center"/>
        <w:rPr>
          <w:rFonts w:ascii="Times New Roman" w:hAnsi="Times New Roman" w:cs="Times New Roman"/>
          <w:b/>
          <w:bCs/>
        </w:rPr>
        <w:sectPr w:rsidR="00051616" w:rsidRPr="006B554D" w:rsidSect="00567893">
          <w:headerReference w:type="default" r:id="rId10"/>
          <w:pgSz w:w="8392" w:h="11907" w:code="11"/>
          <w:pgMar w:top="567" w:right="567" w:bottom="567" w:left="567" w:header="397" w:footer="397" w:gutter="0"/>
          <w:paperSrc w:first="7"/>
          <w:pgNumType w:start="1"/>
          <w:cols w:space="720"/>
          <w:docGrid w:linePitch="360"/>
        </w:sectPr>
      </w:pPr>
    </w:p>
    <w:p w14:paraId="35C45113" w14:textId="4B3D5C9A" w:rsidR="00051616" w:rsidRDefault="00051616" w:rsidP="006B554D">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jc w:val="center"/>
        <w:rPr>
          <w:rFonts w:ascii="Times New Roman" w:hAnsi="Times New Roman" w:cs="Times New Roman"/>
          <w:b/>
          <w:bCs/>
          <w:sz w:val="24"/>
          <w:szCs w:val="24"/>
        </w:rPr>
      </w:pPr>
      <w:r w:rsidRPr="00011338">
        <w:rPr>
          <w:rFonts w:ascii="Times New Roman" w:hAnsi="Times New Roman" w:cs="Times New Roman"/>
          <w:b/>
          <w:bCs/>
          <w:sz w:val="24"/>
          <w:szCs w:val="24"/>
        </w:rPr>
        <w:lastRenderedPageBreak/>
        <w:t>LIST OF PUBLISHED WORKS RELATED TO THE THESIS DURING THE DOCTORAL TRAINING PERIOD</w:t>
      </w:r>
    </w:p>
    <w:p w14:paraId="0C165B83" w14:textId="77777777" w:rsidR="006B554D" w:rsidRPr="00366022" w:rsidRDefault="006B554D" w:rsidP="006B554D">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jc w:val="center"/>
        <w:rPr>
          <w:bCs/>
          <w:iCs/>
          <w:sz w:val="26"/>
          <w:szCs w:val="26"/>
        </w:rPr>
      </w:pPr>
    </w:p>
    <w:p w14:paraId="03093FEA" w14:textId="043A1592" w:rsidR="00382174" w:rsidRPr="006B554D" w:rsidRDefault="00723A5E" w:rsidP="004A21EA">
      <w:pPr>
        <w:pStyle w:val="ListParagraph"/>
        <w:widowControl w:val="0"/>
        <w:numPr>
          <w:ilvl w:val="0"/>
          <w:numId w:val="5"/>
        </w:numPr>
        <w:spacing w:before="120" w:after="120" w:line="360" w:lineRule="auto"/>
        <w:ind w:left="714" w:right="141" w:hanging="357"/>
        <w:rPr>
          <w:rFonts w:ascii="Times New Roman" w:eastAsia="Times New Roman" w:hAnsi="Times New Roman" w:cs="Times New Roman"/>
          <w:iCs/>
          <w:color w:val="000000" w:themeColor="text1"/>
        </w:rPr>
      </w:pPr>
      <w:r w:rsidRPr="00B0325C">
        <w:rPr>
          <w:rFonts w:ascii="Times New Roman" w:eastAsia="Times New Roman" w:hAnsi="Times New Roman" w:cs="Times New Roman"/>
          <w:iCs/>
          <w:color w:val="000000" w:themeColor="text1"/>
          <w:szCs w:val="24"/>
        </w:rPr>
        <w:t xml:space="preserve">Hoang </w:t>
      </w:r>
      <w:r w:rsidRPr="006B554D">
        <w:rPr>
          <w:rFonts w:ascii="Times New Roman" w:eastAsia="Times New Roman" w:hAnsi="Times New Roman" w:cs="Times New Roman"/>
          <w:iCs/>
          <w:color w:val="000000" w:themeColor="text1"/>
        </w:rPr>
        <w:t>Tien Linh, Khuc Dai Long (2024). Promoting green behavior of foreign direct investment enterprises in alignment with Vietnam’s sustainable development goals. Journal of Economics and Forecasting (e-ISSN: 2734-9365), August 28, 2024.</w:t>
      </w:r>
    </w:p>
    <w:p w14:paraId="458F3997" w14:textId="040A3D15" w:rsidR="009C64C6" w:rsidRPr="006B554D" w:rsidRDefault="009C64C6" w:rsidP="004A21EA">
      <w:pPr>
        <w:pStyle w:val="ListParagraph"/>
        <w:widowControl w:val="0"/>
        <w:numPr>
          <w:ilvl w:val="0"/>
          <w:numId w:val="5"/>
        </w:numPr>
        <w:spacing w:before="120" w:after="120" w:line="360" w:lineRule="auto"/>
        <w:ind w:left="714" w:right="141" w:hanging="357"/>
        <w:rPr>
          <w:rFonts w:ascii="Times New Roman" w:eastAsia="Times New Roman" w:hAnsi="Times New Roman" w:cs="Times New Roman"/>
          <w:iCs/>
          <w:color w:val="000000" w:themeColor="text1"/>
        </w:rPr>
      </w:pPr>
      <w:r w:rsidRPr="006B554D">
        <w:rPr>
          <w:rFonts w:ascii="Times New Roman" w:eastAsia="Times New Roman" w:hAnsi="Times New Roman" w:cs="Times New Roman"/>
          <w:iCs/>
          <w:color w:val="000000" w:themeColor="text1"/>
        </w:rPr>
        <w:t>Hoang Tien Linh, Khuc Dai Long (2024). Applying green investment behavior models to foreign direct investment (FDI) enterprises in Vietnam. Journal of State Management (e-ISSN: 2815-5831), September 5, 2024</w:t>
      </w:r>
    </w:p>
    <w:p w14:paraId="485FDCD8" w14:textId="12A7C05B" w:rsidR="00382174" w:rsidRPr="006B554D" w:rsidRDefault="00723A5E" w:rsidP="004A21EA">
      <w:pPr>
        <w:pStyle w:val="ListParagraph"/>
        <w:widowControl w:val="0"/>
        <w:numPr>
          <w:ilvl w:val="0"/>
          <w:numId w:val="5"/>
        </w:numPr>
        <w:spacing w:before="120" w:after="120" w:line="360" w:lineRule="auto"/>
        <w:ind w:left="714" w:right="141" w:hanging="357"/>
        <w:rPr>
          <w:rFonts w:ascii="Times New Roman" w:eastAsia="Times New Roman" w:hAnsi="Times New Roman" w:cs="Times New Roman"/>
          <w:iCs/>
          <w:color w:val="000000" w:themeColor="text1"/>
        </w:rPr>
      </w:pPr>
      <w:r w:rsidRPr="006B554D">
        <w:rPr>
          <w:rFonts w:ascii="Times New Roman" w:eastAsia="Times New Roman" w:hAnsi="Times New Roman" w:cs="Times New Roman"/>
          <w:iCs/>
          <w:color w:val="000000" w:themeColor="text1"/>
        </w:rPr>
        <w:t xml:space="preserve">Hoang Tien Linh, Bui Thi Thu (2025). International experience in green investment behavior and lessons learned for foreign direct investment enterprises in Vietnam. Journal of Economics and Forecasting (e-ISSN: 2734-9365), February 24, </w:t>
      </w:r>
      <w:r w:rsidR="00725CD2" w:rsidRPr="006B554D">
        <w:rPr>
          <w:rFonts w:ascii="Times New Roman" w:eastAsia="Times New Roman" w:hAnsi="Times New Roman" w:cs="Times New Roman"/>
          <w:iCs/>
          <w:color w:val="000000" w:themeColor="text1"/>
        </w:rPr>
        <w:t>2025.</w:t>
      </w:r>
    </w:p>
    <w:p w14:paraId="441C3278" w14:textId="23036DED" w:rsidR="006B554D" w:rsidRPr="006B554D" w:rsidRDefault="00B0325C" w:rsidP="004A21EA">
      <w:pPr>
        <w:pStyle w:val="ListParagraph"/>
        <w:widowControl w:val="0"/>
        <w:numPr>
          <w:ilvl w:val="0"/>
          <w:numId w:val="5"/>
        </w:numPr>
        <w:spacing w:before="120" w:after="120" w:line="360" w:lineRule="auto"/>
        <w:ind w:left="714" w:right="141" w:hanging="357"/>
        <w:rPr>
          <w:b/>
          <w:bCs/>
          <w:iCs/>
          <w:color w:val="000000" w:themeColor="text1"/>
        </w:rPr>
      </w:pPr>
      <w:r w:rsidRPr="006B554D">
        <w:rPr>
          <w:rFonts w:ascii="Times New Roman" w:eastAsia="Times New Roman" w:hAnsi="Times New Roman" w:cs="Times New Roman"/>
          <w:iCs/>
          <w:color w:val="000000" w:themeColor="text1"/>
        </w:rPr>
        <w:t xml:space="preserve">Hoang Tien Linh (2025). A research model on the impact of green investment behavior on the performance of foreign direct investment enterprises in Vietnam. Asia–Pacific Economic Review (ISSN: 0868–3808), March </w:t>
      </w:r>
      <w:r w:rsidR="00725CD2" w:rsidRPr="006B554D">
        <w:rPr>
          <w:rFonts w:ascii="Times New Roman" w:eastAsia="Times New Roman" w:hAnsi="Times New Roman" w:cs="Times New Roman"/>
          <w:iCs/>
          <w:color w:val="000000" w:themeColor="text1"/>
        </w:rPr>
        <w:t>2025.</w:t>
      </w:r>
    </w:p>
    <w:sectPr w:rsidR="006B554D" w:rsidRPr="006B554D" w:rsidSect="00567893">
      <w:headerReference w:type="default" r:id="rId11"/>
      <w:pgSz w:w="7938" w:h="11907" w:code="11"/>
      <w:pgMar w:top="1134" w:right="567" w:bottom="1134" w:left="1134" w:header="992" w:footer="397" w:gutter="0"/>
      <w:paperSrc w:first="7"/>
      <w:pgBorders>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49567" w14:textId="77777777" w:rsidR="00E879B5" w:rsidRDefault="00E879B5">
      <w:r>
        <w:separator/>
      </w:r>
    </w:p>
  </w:endnote>
  <w:endnote w:type="continuationSeparator" w:id="0">
    <w:p w14:paraId="51B36337" w14:textId="77777777" w:rsidR="00E879B5" w:rsidRDefault="00E8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63558" w14:textId="77777777" w:rsidR="00E879B5" w:rsidRDefault="00E879B5">
      <w:r>
        <w:separator/>
      </w:r>
    </w:p>
  </w:footnote>
  <w:footnote w:type="continuationSeparator" w:id="0">
    <w:p w14:paraId="171E715F" w14:textId="77777777" w:rsidR="00E879B5" w:rsidRDefault="00E87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30021" w14:textId="77777777" w:rsidR="00436D83" w:rsidRDefault="00436D83" w:rsidP="00436D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89DE5" w14:textId="77777777" w:rsidR="00436D83" w:rsidRDefault="00436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09858292"/>
      <w:docPartObj>
        <w:docPartGallery w:val="Page Numbers (Top of Page)"/>
        <w:docPartUnique/>
      </w:docPartObj>
    </w:sdtPr>
    <w:sdtEndPr>
      <w:rPr>
        <w:noProof/>
      </w:rPr>
    </w:sdtEndPr>
    <w:sdtContent>
      <w:p w14:paraId="770C82D6" w14:textId="77777777" w:rsidR="00436D83" w:rsidRPr="003E3F4F" w:rsidRDefault="00436D83">
        <w:pPr>
          <w:pStyle w:val="Header"/>
          <w:jc w:val="center"/>
          <w:rPr>
            <w:rFonts w:ascii="Times New Roman" w:hAnsi="Times New Roman" w:cs="Times New Roman"/>
            <w:sz w:val="24"/>
          </w:rPr>
        </w:pPr>
        <w:r w:rsidRPr="003E3F4F">
          <w:rPr>
            <w:rFonts w:ascii="Times New Roman" w:hAnsi="Times New Roman" w:cs="Times New Roman"/>
            <w:sz w:val="24"/>
          </w:rPr>
          <w:fldChar w:fldCharType="begin"/>
        </w:r>
        <w:r w:rsidRPr="003E3F4F">
          <w:rPr>
            <w:rFonts w:ascii="Times New Roman" w:hAnsi="Times New Roman" w:cs="Times New Roman"/>
            <w:sz w:val="24"/>
          </w:rPr>
          <w:instrText xml:space="preserve"> PAGE   \* MERGEFORMAT </w:instrText>
        </w:r>
        <w:r w:rsidRPr="003E3F4F">
          <w:rPr>
            <w:rFonts w:ascii="Times New Roman" w:hAnsi="Times New Roman" w:cs="Times New Roman"/>
            <w:sz w:val="24"/>
          </w:rPr>
          <w:fldChar w:fldCharType="separate"/>
        </w:r>
        <w:r w:rsidR="004A21EA">
          <w:rPr>
            <w:rFonts w:ascii="Times New Roman" w:hAnsi="Times New Roman" w:cs="Times New Roman"/>
            <w:noProof/>
            <w:sz w:val="24"/>
          </w:rPr>
          <w:t>4</w:t>
        </w:r>
        <w:r w:rsidRPr="003E3F4F">
          <w:rPr>
            <w:rFonts w:ascii="Times New Roman" w:hAnsi="Times New Roman" w:cs="Times New Roman"/>
            <w:noProof/>
            <w:sz w:val="24"/>
          </w:rPr>
          <w:fldChar w:fldCharType="end"/>
        </w:r>
      </w:p>
    </w:sdtContent>
  </w:sdt>
  <w:p w14:paraId="360452D7" w14:textId="77777777" w:rsidR="00436D83" w:rsidRDefault="0043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2493" w14:textId="48A17C6B" w:rsidR="00051616" w:rsidRPr="006B554D" w:rsidRDefault="00051616" w:rsidP="006B5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AE7"/>
    <w:multiLevelType w:val="hybridMultilevel"/>
    <w:tmpl w:val="97D4060C"/>
    <w:lvl w:ilvl="0" w:tplc="649084CA">
      <w:start w:val="1"/>
      <w:numFmt w:val="decimal"/>
      <w:lvlText w:val="%1."/>
      <w:lvlJc w:val="left"/>
      <w:pPr>
        <w:ind w:left="360" w:hanging="360"/>
      </w:pPr>
      <w:rPr>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BF1017"/>
    <w:multiLevelType w:val="hybridMultilevel"/>
    <w:tmpl w:val="F4BEA096"/>
    <w:lvl w:ilvl="0" w:tplc="3E5224AC">
      <w:start w:val="1"/>
      <w:numFmt w:val="decimal"/>
      <w:lvlText w:val="%1."/>
      <w:lvlJc w:val="left"/>
      <w:pPr>
        <w:ind w:left="5038" w:hanging="360"/>
      </w:pPr>
      <w:rPr>
        <w:rFonts w:hint="default"/>
        <w:b w:val="0"/>
        <w:bCs w:val="0"/>
        <w:i w:val="0"/>
        <w:iCs/>
        <w:sz w:val="22"/>
        <w:szCs w:val="22"/>
      </w:rPr>
    </w:lvl>
    <w:lvl w:ilvl="1" w:tplc="04090019" w:tentative="1">
      <w:start w:val="1"/>
      <w:numFmt w:val="lowerLetter"/>
      <w:lvlText w:val="%2."/>
      <w:lvlJc w:val="left"/>
      <w:pPr>
        <w:ind w:left="5758" w:hanging="360"/>
      </w:pPr>
    </w:lvl>
    <w:lvl w:ilvl="2" w:tplc="0409001B" w:tentative="1">
      <w:start w:val="1"/>
      <w:numFmt w:val="lowerRoman"/>
      <w:lvlText w:val="%3."/>
      <w:lvlJc w:val="right"/>
      <w:pPr>
        <w:ind w:left="6478" w:hanging="180"/>
      </w:pPr>
    </w:lvl>
    <w:lvl w:ilvl="3" w:tplc="0409000F" w:tentative="1">
      <w:start w:val="1"/>
      <w:numFmt w:val="decimal"/>
      <w:lvlText w:val="%4."/>
      <w:lvlJc w:val="left"/>
      <w:pPr>
        <w:ind w:left="7198" w:hanging="360"/>
      </w:pPr>
    </w:lvl>
    <w:lvl w:ilvl="4" w:tplc="04090019" w:tentative="1">
      <w:start w:val="1"/>
      <w:numFmt w:val="lowerLetter"/>
      <w:lvlText w:val="%5."/>
      <w:lvlJc w:val="left"/>
      <w:pPr>
        <w:ind w:left="7918" w:hanging="360"/>
      </w:pPr>
    </w:lvl>
    <w:lvl w:ilvl="5" w:tplc="0409001B" w:tentative="1">
      <w:start w:val="1"/>
      <w:numFmt w:val="lowerRoman"/>
      <w:lvlText w:val="%6."/>
      <w:lvlJc w:val="right"/>
      <w:pPr>
        <w:ind w:left="8638" w:hanging="180"/>
      </w:pPr>
    </w:lvl>
    <w:lvl w:ilvl="6" w:tplc="0409000F" w:tentative="1">
      <w:start w:val="1"/>
      <w:numFmt w:val="decimal"/>
      <w:lvlText w:val="%7."/>
      <w:lvlJc w:val="left"/>
      <w:pPr>
        <w:ind w:left="9358" w:hanging="360"/>
      </w:pPr>
    </w:lvl>
    <w:lvl w:ilvl="7" w:tplc="04090019" w:tentative="1">
      <w:start w:val="1"/>
      <w:numFmt w:val="lowerLetter"/>
      <w:lvlText w:val="%8."/>
      <w:lvlJc w:val="left"/>
      <w:pPr>
        <w:ind w:left="10078" w:hanging="360"/>
      </w:pPr>
    </w:lvl>
    <w:lvl w:ilvl="8" w:tplc="0409001B" w:tentative="1">
      <w:start w:val="1"/>
      <w:numFmt w:val="lowerRoman"/>
      <w:lvlText w:val="%9."/>
      <w:lvlJc w:val="right"/>
      <w:pPr>
        <w:ind w:left="10798" w:hanging="180"/>
      </w:pPr>
    </w:lvl>
  </w:abstractNum>
  <w:abstractNum w:abstractNumId="2">
    <w:nsid w:val="43D87720"/>
    <w:multiLevelType w:val="hybridMultilevel"/>
    <w:tmpl w:val="ADF40F3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nsid w:val="51573D0B"/>
    <w:multiLevelType w:val="multilevel"/>
    <w:tmpl w:val="54EA149E"/>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5A623824"/>
    <w:multiLevelType w:val="hybridMultilevel"/>
    <w:tmpl w:val="F314E9D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CEpYWFhaWhuZmFko6SsGpxcWZ+XkgBea1ALirVtAsAAAA"/>
  </w:docVars>
  <w:rsids>
    <w:rsidRoot w:val="0006597C"/>
    <w:rsid w:val="00005FEC"/>
    <w:rsid w:val="000076A8"/>
    <w:rsid w:val="00011338"/>
    <w:rsid w:val="000115EB"/>
    <w:rsid w:val="00012B4B"/>
    <w:rsid w:val="00012FD8"/>
    <w:rsid w:val="00014A04"/>
    <w:rsid w:val="00014C28"/>
    <w:rsid w:val="00016115"/>
    <w:rsid w:val="00016364"/>
    <w:rsid w:val="00017ED1"/>
    <w:rsid w:val="00023B6E"/>
    <w:rsid w:val="00025325"/>
    <w:rsid w:val="0002609F"/>
    <w:rsid w:val="0003054A"/>
    <w:rsid w:val="00031233"/>
    <w:rsid w:val="00037567"/>
    <w:rsid w:val="00042E4D"/>
    <w:rsid w:val="00044EB9"/>
    <w:rsid w:val="00045619"/>
    <w:rsid w:val="000466B8"/>
    <w:rsid w:val="00046885"/>
    <w:rsid w:val="00047611"/>
    <w:rsid w:val="00051616"/>
    <w:rsid w:val="00052350"/>
    <w:rsid w:val="0005291E"/>
    <w:rsid w:val="00052DA8"/>
    <w:rsid w:val="00052DD4"/>
    <w:rsid w:val="00056D12"/>
    <w:rsid w:val="0005727C"/>
    <w:rsid w:val="00060251"/>
    <w:rsid w:val="00060627"/>
    <w:rsid w:val="00063DE0"/>
    <w:rsid w:val="0006597C"/>
    <w:rsid w:val="00070A7B"/>
    <w:rsid w:val="000716BC"/>
    <w:rsid w:val="00072D48"/>
    <w:rsid w:val="00074DD2"/>
    <w:rsid w:val="0007612A"/>
    <w:rsid w:val="000762A9"/>
    <w:rsid w:val="00076574"/>
    <w:rsid w:val="000766C6"/>
    <w:rsid w:val="00077750"/>
    <w:rsid w:val="000779C4"/>
    <w:rsid w:val="00083C98"/>
    <w:rsid w:val="000859CC"/>
    <w:rsid w:val="00093D65"/>
    <w:rsid w:val="000946F1"/>
    <w:rsid w:val="00096B9C"/>
    <w:rsid w:val="000A0532"/>
    <w:rsid w:val="000A073D"/>
    <w:rsid w:val="000A1A6E"/>
    <w:rsid w:val="000A1C9A"/>
    <w:rsid w:val="000A2294"/>
    <w:rsid w:val="000A30AC"/>
    <w:rsid w:val="000B23FC"/>
    <w:rsid w:val="000B2E7E"/>
    <w:rsid w:val="000B3383"/>
    <w:rsid w:val="000C3A57"/>
    <w:rsid w:val="000C3BE7"/>
    <w:rsid w:val="000C589E"/>
    <w:rsid w:val="000C64F4"/>
    <w:rsid w:val="000D12A0"/>
    <w:rsid w:val="000D1B0A"/>
    <w:rsid w:val="000D2D99"/>
    <w:rsid w:val="000D327F"/>
    <w:rsid w:val="000D6443"/>
    <w:rsid w:val="000E09FE"/>
    <w:rsid w:val="000E0EFC"/>
    <w:rsid w:val="000E2632"/>
    <w:rsid w:val="000E26F8"/>
    <w:rsid w:val="000E38B0"/>
    <w:rsid w:val="000F11B3"/>
    <w:rsid w:val="000F3696"/>
    <w:rsid w:val="000F526F"/>
    <w:rsid w:val="000F5BF9"/>
    <w:rsid w:val="000F6021"/>
    <w:rsid w:val="000F6282"/>
    <w:rsid w:val="000F665B"/>
    <w:rsid w:val="000F761E"/>
    <w:rsid w:val="001002A7"/>
    <w:rsid w:val="00103FF4"/>
    <w:rsid w:val="001057CC"/>
    <w:rsid w:val="001129D2"/>
    <w:rsid w:val="00113580"/>
    <w:rsid w:val="001152BC"/>
    <w:rsid w:val="0012085D"/>
    <w:rsid w:val="00120E50"/>
    <w:rsid w:val="00126BB3"/>
    <w:rsid w:val="00127788"/>
    <w:rsid w:val="00127AC9"/>
    <w:rsid w:val="00127B76"/>
    <w:rsid w:val="00127ECB"/>
    <w:rsid w:val="00127FE6"/>
    <w:rsid w:val="00130B97"/>
    <w:rsid w:val="0013554A"/>
    <w:rsid w:val="00136708"/>
    <w:rsid w:val="00140D8E"/>
    <w:rsid w:val="001433C0"/>
    <w:rsid w:val="00146587"/>
    <w:rsid w:val="00150E40"/>
    <w:rsid w:val="001560F8"/>
    <w:rsid w:val="00165DC6"/>
    <w:rsid w:val="00171FE1"/>
    <w:rsid w:val="001723DB"/>
    <w:rsid w:val="00172CAB"/>
    <w:rsid w:val="00176B04"/>
    <w:rsid w:val="00176B5E"/>
    <w:rsid w:val="00182D8B"/>
    <w:rsid w:val="001833AD"/>
    <w:rsid w:val="001847DF"/>
    <w:rsid w:val="00185EF9"/>
    <w:rsid w:val="00186110"/>
    <w:rsid w:val="0019117B"/>
    <w:rsid w:val="001A0EA0"/>
    <w:rsid w:val="001A3845"/>
    <w:rsid w:val="001A519F"/>
    <w:rsid w:val="001A5CBE"/>
    <w:rsid w:val="001A5D6A"/>
    <w:rsid w:val="001A68A1"/>
    <w:rsid w:val="001A778C"/>
    <w:rsid w:val="001B4F68"/>
    <w:rsid w:val="001B5E6A"/>
    <w:rsid w:val="001C1744"/>
    <w:rsid w:val="001C1AB7"/>
    <w:rsid w:val="001C1C10"/>
    <w:rsid w:val="001C31B7"/>
    <w:rsid w:val="001C35BD"/>
    <w:rsid w:val="001C3B8A"/>
    <w:rsid w:val="001C5276"/>
    <w:rsid w:val="001D0CD0"/>
    <w:rsid w:val="001D16D0"/>
    <w:rsid w:val="001D1A8D"/>
    <w:rsid w:val="001D3389"/>
    <w:rsid w:val="001E134D"/>
    <w:rsid w:val="001E211D"/>
    <w:rsid w:val="001E27B7"/>
    <w:rsid w:val="001E6B1C"/>
    <w:rsid w:val="001F15DC"/>
    <w:rsid w:val="001F1849"/>
    <w:rsid w:val="001F3083"/>
    <w:rsid w:val="001F50A2"/>
    <w:rsid w:val="001F54B9"/>
    <w:rsid w:val="001F5869"/>
    <w:rsid w:val="002063AE"/>
    <w:rsid w:val="00207DB1"/>
    <w:rsid w:val="0021037B"/>
    <w:rsid w:val="00210DB8"/>
    <w:rsid w:val="00210EF3"/>
    <w:rsid w:val="00212B66"/>
    <w:rsid w:val="00214347"/>
    <w:rsid w:val="002145C1"/>
    <w:rsid w:val="00215FB4"/>
    <w:rsid w:val="00217922"/>
    <w:rsid w:val="00222DD1"/>
    <w:rsid w:val="002239E7"/>
    <w:rsid w:val="002246B2"/>
    <w:rsid w:val="00224C4B"/>
    <w:rsid w:val="00224C65"/>
    <w:rsid w:val="00230B55"/>
    <w:rsid w:val="00230F86"/>
    <w:rsid w:val="0023115D"/>
    <w:rsid w:val="00233AED"/>
    <w:rsid w:val="00233E2E"/>
    <w:rsid w:val="00234B55"/>
    <w:rsid w:val="00234CA7"/>
    <w:rsid w:val="00236CF0"/>
    <w:rsid w:val="0023794A"/>
    <w:rsid w:val="00237A6A"/>
    <w:rsid w:val="00241879"/>
    <w:rsid w:val="00242863"/>
    <w:rsid w:val="0024407B"/>
    <w:rsid w:val="00244914"/>
    <w:rsid w:val="0024707A"/>
    <w:rsid w:val="00254A8D"/>
    <w:rsid w:val="00257C44"/>
    <w:rsid w:val="00260C6C"/>
    <w:rsid w:val="00262F2A"/>
    <w:rsid w:val="002647A3"/>
    <w:rsid w:val="002649A8"/>
    <w:rsid w:val="00267126"/>
    <w:rsid w:val="00270EE8"/>
    <w:rsid w:val="00271E30"/>
    <w:rsid w:val="00273D52"/>
    <w:rsid w:val="00274585"/>
    <w:rsid w:val="00275080"/>
    <w:rsid w:val="00275133"/>
    <w:rsid w:val="002810BE"/>
    <w:rsid w:val="002834D5"/>
    <w:rsid w:val="0028359C"/>
    <w:rsid w:val="00285B3F"/>
    <w:rsid w:val="00285FF5"/>
    <w:rsid w:val="002911A6"/>
    <w:rsid w:val="00291DF3"/>
    <w:rsid w:val="00292041"/>
    <w:rsid w:val="00292BB2"/>
    <w:rsid w:val="00293059"/>
    <w:rsid w:val="00293813"/>
    <w:rsid w:val="00294CDE"/>
    <w:rsid w:val="00296492"/>
    <w:rsid w:val="0029656A"/>
    <w:rsid w:val="002A0416"/>
    <w:rsid w:val="002A1A89"/>
    <w:rsid w:val="002A1AA5"/>
    <w:rsid w:val="002A1C9F"/>
    <w:rsid w:val="002A3715"/>
    <w:rsid w:val="002A5E97"/>
    <w:rsid w:val="002A5F69"/>
    <w:rsid w:val="002A7A2A"/>
    <w:rsid w:val="002B0969"/>
    <w:rsid w:val="002B20F1"/>
    <w:rsid w:val="002B3224"/>
    <w:rsid w:val="002B5521"/>
    <w:rsid w:val="002B7554"/>
    <w:rsid w:val="002B7706"/>
    <w:rsid w:val="002C0286"/>
    <w:rsid w:val="002C11FB"/>
    <w:rsid w:val="002C59EA"/>
    <w:rsid w:val="002C5DB2"/>
    <w:rsid w:val="002D0413"/>
    <w:rsid w:val="002D0A14"/>
    <w:rsid w:val="002D5380"/>
    <w:rsid w:val="002D5830"/>
    <w:rsid w:val="002D760E"/>
    <w:rsid w:val="002D7FC8"/>
    <w:rsid w:val="002E3C2B"/>
    <w:rsid w:val="002E6F08"/>
    <w:rsid w:val="002F1B8F"/>
    <w:rsid w:val="002F3C30"/>
    <w:rsid w:val="002F45C8"/>
    <w:rsid w:val="002F5CDA"/>
    <w:rsid w:val="00300F58"/>
    <w:rsid w:val="0030167B"/>
    <w:rsid w:val="00302DD5"/>
    <w:rsid w:val="00303259"/>
    <w:rsid w:val="00303C39"/>
    <w:rsid w:val="0030551C"/>
    <w:rsid w:val="0031046A"/>
    <w:rsid w:val="00311B6E"/>
    <w:rsid w:val="00312807"/>
    <w:rsid w:val="00312DBB"/>
    <w:rsid w:val="00320AB5"/>
    <w:rsid w:val="0032470F"/>
    <w:rsid w:val="00325756"/>
    <w:rsid w:val="003306C9"/>
    <w:rsid w:val="00330B1C"/>
    <w:rsid w:val="00331AFA"/>
    <w:rsid w:val="00331D2E"/>
    <w:rsid w:val="003340A6"/>
    <w:rsid w:val="00334753"/>
    <w:rsid w:val="003366A2"/>
    <w:rsid w:val="00337A19"/>
    <w:rsid w:val="00340B4E"/>
    <w:rsid w:val="00343ADF"/>
    <w:rsid w:val="00344762"/>
    <w:rsid w:val="0034714E"/>
    <w:rsid w:val="003509C2"/>
    <w:rsid w:val="00352072"/>
    <w:rsid w:val="0035233C"/>
    <w:rsid w:val="003530FF"/>
    <w:rsid w:val="00354783"/>
    <w:rsid w:val="0035562D"/>
    <w:rsid w:val="0035686E"/>
    <w:rsid w:val="003574B4"/>
    <w:rsid w:val="00364504"/>
    <w:rsid w:val="00364ADD"/>
    <w:rsid w:val="00365E4F"/>
    <w:rsid w:val="00366022"/>
    <w:rsid w:val="00370129"/>
    <w:rsid w:val="00370DBF"/>
    <w:rsid w:val="00371885"/>
    <w:rsid w:val="003731E5"/>
    <w:rsid w:val="00374F44"/>
    <w:rsid w:val="0038080D"/>
    <w:rsid w:val="00382174"/>
    <w:rsid w:val="00382BB9"/>
    <w:rsid w:val="00384846"/>
    <w:rsid w:val="00384A4F"/>
    <w:rsid w:val="00385D85"/>
    <w:rsid w:val="003860A0"/>
    <w:rsid w:val="00386F96"/>
    <w:rsid w:val="00395246"/>
    <w:rsid w:val="003959E5"/>
    <w:rsid w:val="00397008"/>
    <w:rsid w:val="00397432"/>
    <w:rsid w:val="003A04D4"/>
    <w:rsid w:val="003A1574"/>
    <w:rsid w:val="003A2FCE"/>
    <w:rsid w:val="003A5CAF"/>
    <w:rsid w:val="003A6EB0"/>
    <w:rsid w:val="003B17D2"/>
    <w:rsid w:val="003B2483"/>
    <w:rsid w:val="003B2BDA"/>
    <w:rsid w:val="003B2FE0"/>
    <w:rsid w:val="003B5862"/>
    <w:rsid w:val="003B6E93"/>
    <w:rsid w:val="003C137D"/>
    <w:rsid w:val="003C1DE0"/>
    <w:rsid w:val="003C4092"/>
    <w:rsid w:val="003C572F"/>
    <w:rsid w:val="003D279F"/>
    <w:rsid w:val="003D2B06"/>
    <w:rsid w:val="003D408A"/>
    <w:rsid w:val="003D4498"/>
    <w:rsid w:val="003D4878"/>
    <w:rsid w:val="003D4DBF"/>
    <w:rsid w:val="003D5FF2"/>
    <w:rsid w:val="003D64CC"/>
    <w:rsid w:val="003D6524"/>
    <w:rsid w:val="003E0191"/>
    <w:rsid w:val="003E123A"/>
    <w:rsid w:val="003E462D"/>
    <w:rsid w:val="003F003A"/>
    <w:rsid w:val="003F00E3"/>
    <w:rsid w:val="003F110A"/>
    <w:rsid w:val="003F14EE"/>
    <w:rsid w:val="003F5A01"/>
    <w:rsid w:val="004007BA"/>
    <w:rsid w:val="00401599"/>
    <w:rsid w:val="004015BE"/>
    <w:rsid w:val="004017D1"/>
    <w:rsid w:val="00404A98"/>
    <w:rsid w:val="00405266"/>
    <w:rsid w:val="00406BB5"/>
    <w:rsid w:val="00411847"/>
    <w:rsid w:val="00412A91"/>
    <w:rsid w:val="00412C00"/>
    <w:rsid w:val="00413E60"/>
    <w:rsid w:val="00415A51"/>
    <w:rsid w:val="004168B0"/>
    <w:rsid w:val="00420203"/>
    <w:rsid w:val="00421848"/>
    <w:rsid w:val="00422326"/>
    <w:rsid w:val="00424A59"/>
    <w:rsid w:val="00424E30"/>
    <w:rsid w:val="00425837"/>
    <w:rsid w:val="00430000"/>
    <w:rsid w:val="00431347"/>
    <w:rsid w:val="004319E9"/>
    <w:rsid w:val="0043449C"/>
    <w:rsid w:val="00434D33"/>
    <w:rsid w:val="004356FA"/>
    <w:rsid w:val="00436504"/>
    <w:rsid w:val="00436AC9"/>
    <w:rsid w:val="00436D80"/>
    <w:rsid w:val="00436D83"/>
    <w:rsid w:val="004429BA"/>
    <w:rsid w:val="004459C4"/>
    <w:rsid w:val="00445DC7"/>
    <w:rsid w:val="004468E8"/>
    <w:rsid w:val="00447344"/>
    <w:rsid w:val="00453B6F"/>
    <w:rsid w:val="00453D0F"/>
    <w:rsid w:val="00461DEB"/>
    <w:rsid w:val="00465680"/>
    <w:rsid w:val="00465681"/>
    <w:rsid w:val="00465908"/>
    <w:rsid w:val="00466459"/>
    <w:rsid w:val="004720AE"/>
    <w:rsid w:val="0047290B"/>
    <w:rsid w:val="0047600C"/>
    <w:rsid w:val="004824AE"/>
    <w:rsid w:val="004835B6"/>
    <w:rsid w:val="00483D12"/>
    <w:rsid w:val="00484F65"/>
    <w:rsid w:val="0048694E"/>
    <w:rsid w:val="004962AA"/>
    <w:rsid w:val="004967AF"/>
    <w:rsid w:val="004A169E"/>
    <w:rsid w:val="004A21EA"/>
    <w:rsid w:val="004A6527"/>
    <w:rsid w:val="004A6C07"/>
    <w:rsid w:val="004A79F0"/>
    <w:rsid w:val="004B2A53"/>
    <w:rsid w:val="004B2D5D"/>
    <w:rsid w:val="004B51C7"/>
    <w:rsid w:val="004B610A"/>
    <w:rsid w:val="004C6ACD"/>
    <w:rsid w:val="004D078C"/>
    <w:rsid w:val="004D1025"/>
    <w:rsid w:val="004D257A"/>
    <w:rsid w:val="004D258A"/>
    <w:rsid w:val="004D3462"/>
    <w:rsid w:val="004D3B9C"/>
    <w:rsid w:val="004D4266"/>
    <w:rsid w:val="004D48EC"/>
    <w:rsid w:val="004E1ACA"/>
    <w:rsid w:val="004F07DF"/>
    <w:rsid w:val="004F0D2B"/>
    <w:rsid w:val="004F4BDE"/>
    <w:rsid w:val="004F4EDD"/>
    <w:rsid w:val="004F515E"/>
    <w:rsid w:val="004F5848"/>
    <w:rsid w:val="004F6B16"/>
    <w:rsid w:val="004F6CFB"/>
    <w:rsid w:val="00506C4B"/>
    <w:rsid w:val="00511FC5"/>
    <w:rsid w:val="00512600"/>
    <w:rsid w:val="005142B7"/>
    <w:rsid w:val="00514D33"/>
    <w:rsid w:val="005220AB"/>
    <w:rsid w:val="00522660"/>
    <w:rsid w:val="00526EC0"/>
    <w:rsid w:val="005275B8"/>
    <w:rsid w:val="00527DF2"/>
    <w:rsid w:val="0053443A"/>
    <w:rsid w:val="00534853"/>
    <w:rsid w:val="005375D7"/>
    <w:rsid w:val="00541687"/>
    <w:rsid w:val="0054303C"/>
    <w:rsid w:val="0054439B"/>
    <w:rsid w:val="0054531D"/>
    <w:rsid w:val="0054685C"/>
    <w:rsid w:val="005542C9"/>
    <w:rsid w:val="00555AD1"/>
    <w:rsid w:val="00555C91"/>
    <w:rsid w:val="00560C1E"/>
    <w:rsid w:val="00560C21"/>
    <w:rsid w:val="00562C4A"/>
    <w:rsid w:val="00562CF9"/>
    <w:rsid w:val="00564222"/>
    <w:rsid w:val="00567893"/>
    <w:rsid w:val="005732ED"/>
    <w:rsid w:val="00573F19"/>
    <w:rsid w:val="00577C55"/>
    <w:rsid w:val="0058036A"/>
    <w:rsid w:val="00580823"/>
    <w:rsid w:val="005847A8"/>
    <w:rsid w:val="00584C4C"/>
    <w:rsid w:val="00586F61"/>
    <w:rsid w:val="00592130"/>
    <w:rsid w:val="00592D02"/>
    <w:rsid w:val="00592FBD"/>
    <w:rsid w:val="00593EF5"/>
    <w:rsid w:val="00594708"/>
    <w:rsid w:val="00595A8A"/>
    <w:rsid w:val="005966A7"/>
    <w:rsid w:val="005A1360"/>
    <w:rsid w:val="005A18ED"/>
    <w:rsid w:val="005A39F7"/>
    <w:rsid w:val="005B1D3B"/>
    <w:rsid w:val="005B3F39"/>
    <w:rsid w:val="005B49EB"/>
    <w:rsid w:val="005C237C"/>
    <w:rsid w:val="005C6328"/>
    <w:rsid w:val="005C6D46"/>
    <w:rsid w:val="005D2401"/>
    <w:rsid w:val="005D265D"/>
    <w:rsid w:val="005E5DE8"/>
    <w:rsid w:val="005F40A5"/>
    <w:rsid w:val="005F48AE"/>
    <w:rsid w:val="00601AFD"/>
    <w:rsid w:val="006028CC"/>
    <w:rsid w:val="00603849"/>
    <w:rsid w:val="0060659C"/>
    <w:rsid w:val="006078FA"/>
    <w:rsid w:val="00607D0E"/>
    <w:rsid w:val="00612329"/>
    <w:rsid w:val="0061295C"/>
    <w:rsid w:val="00613DC6"/>
    <w:rsid w:val="00617C90"/>
    <w:rsid w:val="00617F1B"/>
    <w:rsid w:val="00620110"/>
    <w:rsid w:val="00621BC8"/>
    <w:rsid w:val="006224F6"/>
    <w:rsid w:val="00622801"/>
    <w:rsid w:val="006228D1"/>
    <w:rsid w:val="0062389E"/>
    <w:rsid w:val="00625D9B"/>
    <w:rsid w:val="00627802"/>
    <w:rsid w:val="00631F48"/>
    <w:rsid w:val="00632F66"/>
    <w:rsid w:val="00633C57"/>
    <w:rsid w:val="00636BD8"/>
    <w:rsid w:val="00637E53"/>
    <w:rsid w:val="00640E50"/>
    <w:rsid w:val="00642B28"/>
    <w:rsid w:val="006430D7"/>
    <w:rsid w:val="00643178"/>
    <w:rsid w:val="006463A6"/>
    <w:rsid w:val="00646E6C"/>
    <w:rsid w:val="00647812"/>
    <w:rsid w:val="00651AB8"/>
    <w:rsid w:val="00651B8A"/>
    <w:rsid w:val="006562FC"/>
    <w:rsid w:val="006602B6"/>
    <w:rsid w:val="00661D15"/>
    <w:rsid w:val="00661D5B"/>
    <w:rsid w:val="00663C99"/>
    <w:rsid w:val="00665423"/>
    <w:rsid w:val="00666DED"/>
    <w:rsid w:val="00670046"/>
    <w:rsid w:val="00672440"/>
    <w:rsid w:val="00675531"/>
    <w:rsid w:val="006758E3"/>
    <w:rsid w:val="0068094B"/>
    <w:rsid w:val="00682641"/>
    <w:rsid w:val="00685564"/>
    <w:rsid w:val="00687F44"/>
    <w:rsid w:val="00691244"/>
    <w:rsid w:val="006921BD"/>
    <w:rsid w:val="006A0EDB"/>
    <w:rsid w:val="006A2484"/>
    <w:rsid w:val="006A288A"/>
    <w:rsid w:val="006A4C3F"/>
    <w:rsid w:val="006A5B37"/>
    <w:rsid w:val="006A7F30"/>
    <w:rsid w:val="006B3442"/>
    <w:rsid w:val="006B554D"/>
    <w:rsid w:val="006B79D7"/>
    <w:rsid w:val="006C2C1F"/>
    <w:rsid w:val="006C2C42"/>
    <w:rsid w:val="006C3426"/>
    <w:rsid w:val="006C51CC"/>
    <w:rsid w:val="006C64AD"/>
    <w:rsid w:val="006C723D"/>
    <w:rsid w:val="006D066C"/>
    <w:rsid w:val="006D1387"/>
    <w:rsid w:val="006D1C1D"/>
    <w:rsid w:val="006D2058"/>
    <w:rsid w:val="006D220C"/>
    <w:rsid w:val="006D40F0"/>
    <w:rsid w:val="006E3682"/>
    <w:rsid w:val="006E6531"/>
    <w:rsid w:val="006F13DD"/>
    <w:rsid w:val="006F310C"/>
    <w:rsid w:val="006F3163"/>
    <w:rsid w:val="006F4191"/>
    <w:rsid w:val="006F4F12"/>
    <w:rsid w:val="007072CB"/>
    <w:rsid w:val="00710AED"/>
    <w:rsid w:val="00714040"/>
    <w:rsid w:val="00714494"/>
    <w:rsid w:val="0071687F"/>
    <w:rsid w:val="00720920"/>
    <w:rsid w:val="00722310"/>
    <w:rsid w:val="00722C2F"/>
    <w:rsid w:val="00723229"/>
    <w:rsid w:val="00723A5E"/>
    <w:rsid w:val="00725CD2"/>
    <w:rsid w:val="00732118"/>
    <w:rsid w:val="00732357"/>
    <w:rsid w:val="007339B5"/>
    <w:rsid w:val="00734DBC"/>
    <w:rsid w:val="007369AC"/>
    <w:rsid w:val="00741264"/>
    <w:rsid w:val="007413D9"/>
    <w:rsid w:val="007467FB"/>
    <w:rsid w:val="00754E00"/>
    <w:rsid w:val="00756A67"/>
    <w:rsid w:val="00756E19"/>
    <w:rsid w:val="00760982"/>
    <w:rsid w:val="00760E4E"/>
    <w:rsid w:val="007613CE"/>
    <w:rsid w:val="00762A5A"/>
    <w:rsid w:val="00764D5C"/>
    <w:rsid w:val="00771EF3"/>
    <w:rsid w:val="00776A8B"/>
    <w:rsid w:val="007818DC"/>
    <w:rsid w:val="00785024"/>
    <w:rsid w:val="00791177"/>
    <w:rsid w:val="007931B7"/>
    <w:rsid w:val="00793672"/>
    <w:rsid w:val="007968DB"/>
    <w:rsid w:val="007A3F49"/>
    <w:rsid w:val="007A53C4"/>
    <w:rsid w:val="007A69BD"/>
    <w:rsid w:val="007A6C2C"/>
    <w:rsid w:val="007A7DA0"/>
    <w:rsid w:val="007B2037"/>
    <w:rsid w:val="007B3293"/>
    <w:rsid w:val="007B3519"/>
    <w:rsid w:val="007B4D1D"/>
    <w:rsid w:val="007C01A7"/>
    <w:rsid w:val="007C1FC2"/>
    <w:rsid w:val="007C23B5"/>
    <w:rsid w:val="007C5369"/>
    <w:rsid w:val="007D3114"/>
    <w:rsid w:val="007D3600"/>
    <w:rsid w:val="007D47FD"/>
    <w:rsid w:val="007D5758"/>
    <w:rsid w:val="007D58C9"/>
    <w:rsid w:val="007E7338"/>
    <w:rsid w:val="007E7A33"/>
    <w:rsid w:val="007F1EF7"/>
    <w:rsid w:val="007F26C3"/>
    <w:rsid w:val="007F4223"/>
    <w:rsid w:val="007F54BB"/>
    <w:rsid w:val="007F57DC"/>
    <w:rsid w:val="007F6181"/>
    <w:rsid w:val="007F7E89"/>
    <w:rsid w:val="00803C3A"/>
    <w:rsid w:val="00804553"/>
    <w:rsid w:val="00807292"/>
    <w:rsid w:val="00811FFF"/>
    <w:rsid w:val="00817CB8"/>
    <w:rsid w:val="00820ADE"/>
    <w:rsid w:val="00820C1E"/>
    <w:rsid w:val="0082223B"/>
    <w:rsid w:val="0082484A"/>
    <w:rsid w:val="00825495"/>
    <w:rsid w:val="00830EA4"/>
    <w:rsid w:val="00835B21"/>
    <w:rsid w:val="0083658D"/>
    <w:rsid w:val="00837CCB"/>
    <w:rsid w:val="008411EC"/>
    <w:rsid w:val="00842842"/>
    <w:rsid w:val="00843AE8"/>
    <w:rsid w:val="00845650"/>
    <w:rsid w:val="00845C76"/>
    <w:rsid w:val="00847FCE"/>
    <w:rsid w:val="008539FD"/>
    <w:rsid w:val="00853B39"/>
    <w:rsid w:val="00854702"/>
    <w:rsid w:val="00855BEB"/>
    <w:rsid w:val="008600A3"/>
    <w:rsid w:val="00861519"/>
    <w:rsid w:val="008629A9"/>
    <w:rsid w:val="00862BD7"/>
    <w:rsid w:val="00862BE3"/>
    <w:rsid w:val="00864DFD"/>
    <w:rsid w:val="008705EB"/>
    <w:rsid w:val="00871F29"/>
    <w:rsid w:val="00873FCA"/>
    <w:rsid w:val="0087681C"/>
    <w:rsid w:val="008812EA"/>
    <w:rsid w:val="00881BDC"/>
    <w:rsid w:val="008820FE"/>
    <w:rsid w:val="008831A9"/>
    <w:rsid w:val="0089154A"/>
    <w:rsid w:val="00891B8B"/>
    <w:rsid w:val="00892875"/>
    <w:rsid w:val="00897686"/>
    <w:rsid w:val="008A0A2D"/>
    <w:rsid w:val="008A12A3"/>
    <w:rsid w:val="008A19CF"/>
    <w:rsid w:val="008A1B4D"/>
    <w:rsid w:val="008A3740"/>
    <w:rsid w:val="008A7DB4"/>
    <w:rsid w:val="008B3438"/>
    <w:rsid w:val="008B5995"/>
    <w:rsid w:val="008B5BFF"/>
    <w:rsid w:val="008C2817"/>
    <w:rsid w:val="008D020C"/>
    <w:rsid w:val="008D1F45"/>
    <w:rsid w:val="008D4ED4"/>
    <w:rsid w:val="008D6E0C"/>
    <w:rsid w:val="008D6E2C"/>
    <w:rsid w:val="008E00D4"/>
    <w:rsid w:val="008E1341"/>
    <w:rsid w:val="008E4519"/>
    <w:rsid w:val="008E5F7C"/>
    <w:rsid w:val="008E7839"/>
    <w:rsid w:val="008F6A9D"/>
    <w:rsid w:val="009007E4"/>
    <w:rsid w:val="009012CA"/>
    <w:rsid w:val="00915DB2"/>
    <w:rsid w:val="009179DD"/>
    <w:rsid w:val="00925288"/>
    <w:rsid w:val="0092541A"/>
    <w:rsid w:val="0093497F"/>
    <w:rsid w:val="0093626E"/>
    <w:rsid w:val="0094265E"/>
    <w:rsid w:val="009473CD"/>
    <w:rsid w:val="0094740D"/>
    <w:rsid w:val="0094767E"/>
    <w:rsid w:val="009476DC"/>
    <w:rsid w:val="00947701"/>
    <w:rsid w:val="00951E76"/>
    <w:rsid w:val="00953F0D"/>
    <w:rsid w:val="00955494"/>
    <w:rsid w:val="00966946"/>
    <w:rsid w:val="009670C0"/>
    <w:rsid w:val="00967723"/>
    <w:rsid w:val="00970716"/>
    <w:rsid w:val="009728A9"/>
    <w:rsid w:val="0097380A"/>
    <w:rsid w:val="009738A0"/>
    <w:rsid w:val="009768B6"/>
    <w:rsid w:val="00981FE3"/>
    <w:rsid w:val="0098233F"/>
    <w:rsid w:val="009866A8"/>
    <w:rsid w:val="009875F9"/>
    <w:rsid w:val="0099345F"/>
    <w:rsid w:val="0099385B"/>
    <w:rsid w:val="00995F3D"/>
    <w:rsid w:val="009A7F08"/>
    <w:rsid w:val="009B1EC5"/>
    <w:rsid w:val="009B33CD"/>
    <w:rsid w:val="009B534E"/>
    <w:rsid w:val="009B7A44"/>
    <w:rsid w:val="009C19AA"/>
    <w:rsid w:val="009C4239"/>
    <w:rsid w:val="009C5897"/>
    <w:rsid w:val="009C64C6"/>
    <w:rsid w:val="009C6D7C"/>
    <w:rsid w:val="009C6E69"/>
    <w:rsid w:val="009D0166"/>
    <w:rsid w:val="009D072C"/>
    <w:rsid w:val="009D4772"/>
    <w:rsid w:val="009D729D"/>
    <w:rsid w:val="009E1C8B"/>
    <w:rsid w:val="009E3825"/>
    <w:rsid w:val="009E3C92"/>
    <w:rsid w:val="009E5E8E"/>
    <w:rsid w:val="009F0078"/>
    <w:rsid w:val="009F2B0A"/>
    <w:rsid w:val="009F2E50"/>
    <w:rsid w:val="009F3FB1"/>
    <w:rsid w:val="009F5B6B"/>
    <w:rsid w:val="009F65DC"/>
    <w:rsid w:val="009F734F"/>
    <w:rsid w:val="00A01274"/>
    <w:rsid w:val="00A03342"/>
    <w:rsid w:val="00A05D95"/>
    <w:rsid w:val="00A1383E"/>
    <w:rsid w:val="00A17C03"/>
    <w:rsid w:val="00A23E11"/>
    <w:rsid w:val="00A24358"/>
    <w:rsid w:val="00A300E8"/>
    <w:rsid w:val="00A30315"/>
    <w:rsid w:val="00A3240D"/>
    <w:rsid w:val="00A34003"/>
    <w:rsid w:val="00A37CF1"/>
    <w:rsid w:val="00A37F39"/>
    <w:rsid w:val="00A37FB6"/>
    <w:rsid w:val="00A37FC0"/>
    <w:rsid w:val="00A4049B"/>
    <w:rsid w:val="00A40A37"/>
    <w:rsid w:val="00A41967"/>
    <w:rsid w:val="00A472CE"/>
    <w:rsid w:val="00A50187"/>
    <w:rsid w:val="00A52E60"/>
    <w:rsid w:val="00A53821"/>
    <w:rsid w:val="00A53B56"/>
    <w:rsid w:val="00A54EAC"/>
    <w:rsid w:val="00A55630"/>
    <w:rsid w:val="00A602F5"/>
    <w:rsid w:val="00A62EBB"/>
    <w:rsid w:val="00A63F68"/>
    <w:rsid w:val="00A64896"/>
    <w:rsid w:val="00A6524D"/>
    <w:rsid w:val="00A6536F"/>
    <w:rsid w:val="00A65789"/>
    <w:rsid w:val="00A65B13"/>
    <w:rsid w:val="00A66D92"/>
    <w:rsid w:val="00A7000C"/>
    <w:rsid w:val="00A7387E"/>
    <w:rsid w:val="00A74640"/>
    <w:rsid w:val="00A74ACB"/>
    <w:rsid w:val="00A7513D"/>
    <w:rsid w:val="00A81F2E"/>
    <w:rsid w:val="00A84809"/>
    <w:rsid w:val="00A84AEB"/>
    <w:rsid w:val="00A865FC"/>
    <w:rsid w:val="00A9152A"/>
    <w:rsid w:val="00A93108"/>
    <w:rsid w:val="00A93E6E"/>
    <w:rsid w:val="00A9453A"/>
    <w:rsid w:val="00A9506E"/>
    <w:rsid w:val="00A953B4"/>
    <w:rsid w:val="00AA7A7E"/>
    <w:rsid w:val="00AB1DC0"/>
    <w:rsid w:val="00AB4251"/>
    <w:rsid w:val="00AC07E2"/>
    <w:rsid w:val="00AC107F"/>
    <w:rsid w:val="00AC2CB1"/>
    <w:rsid w:val="00AC4EEB"/>
    <w:rsid w:val="00AD243E"/>
    <w:rsid w:val="00AD3664"/>
    <w:rsid w:val="00AD4B47"/>
    <w:rsid w:val="00AD66CA"/>
    <w:rsid w:val="00AE0000"/>
    <w:rsid w:val="00AE0C9D"/>
    <w:rsid w:val="00AE1F16"/>
    <w:rsid w:val="00AE2E04"/>
    <w:rsid w:val="00AE35FA"/>
    <w:rsid w:val="00AE3A25"/>
    <w:rsid w:val="00AE4FD0"/>
    <w:rsid w:val="00AE5EDE"/>
    <w:rsid w:val="00AF190B"/>
    <w:rsid w:val="00AF28DA"/>
    <w:rsid w:val="00AF2B87"/>
    <w:rsid w:val="00AF2D54"/>
    <w:rsid w:val="00AF2D95"/>
    <w:rsid w:val="00AF413A"/>
    <w:rsid w:val="00B0325C"/>
    <w:rsid w:val="00B04001"/>
    <w:rsid w:val="00B0524E"/>
    <w:rsid w:val="00B10273"/>
    <w:rsid w:val="00B12E45"/>
    <w:rsid w:val="00B14EAA"/>
    <w:rsid w:val="00B16F4A"/>
    <w:rsid w:val="00B21962"/>
    <w:rsid w:val="00B22D23"/>
    <w:rsid w:val="00B23BA0"/>
    <w:rsid w:val="00B26851"/>
    <w:rsid w:val="00B334EC"/>
    <w:rsid w:val="00B35073"/>
    <w:rsid w:val="00B36B5F"/>
    <w:rsid w:val="00B37260"/>
    <w:rsid w:val="00B4073F"/>
    <w:rsid w:val="00B43567"/>
    <w:rsid w:val="00B43A92"/>
    <w:rsid w:val="00B44A75"/>
    <w:rsid w:val="00B4571C"/>
    <w:rsid w:val="00B45F9D"/>
    <w:rsid w:val="00B46499"/>
    <w:rsid w:val="00B47184"/>
    <w:rsid w:val="00B50A1B"/>
    <w:rsid w:val="00B5296A"/>
    <w:rsid w:val="00B53F9E"/>
    <w:rsid w:val="00B55EB9"/>
    <w:rsid w:val="00B607D1"/>
    <w:rsid w:val="00B63C9F"/>
    <w:rsid w:val="00B6464A"/>
    <w:rsid w:val="00B65C89"/>
    <w:rsid w:val="00B665C3"/>
    <w:rsid w:val="00B67A3A"/>
    <w:rsid w:val="00B7140D"/>
    <w:rsid w:val="00B72B44"/>
    <w:rsid w:val="00B745DC"/>
    <w:rsid w:val="00B750CB"/>
    <w:rsid w:val="00B80018"/>
    <w:rsid w:val="00B823E3"/>
    <w:rsid w:val="00B913CB"/>
    <w:rsid w:val="00B93EA2"/>
    <w:rsid w:val="00B9571E"/>
    <w:rsid w:val="00B95F93"/>
    <w:rsid w:val="00B96BED"/>
    <w:rsid w:val="00B97606"/>
    <w:rsid w:val="00BA1D16"/>
    <w:rsid w:val="00BA4D25"/>
    <w:rsid w:val="00BA63F5"/>
    <w:rsid w:val="00BA73AC"/>
    <w:rsid w:val="00BA79E4"/>
    <w:rsid w:val="00BB005C"/>
    <w:rsid w:val="00BB195B"/>
    <w:rsid w:val="00BB4604"/>
    <w:rsid w:val="00BC46B1"/>
    <w:rsid w:val="00BC716C"/>
    <w:rsid w:val="00BD00BA"/>
    <w:rsid w:val="00BD0452"/>
    <w:rsid w:val="00BD0B45"/>
    <w:rsid w:val="00BD272D"/>
    <w:rsid w:val="00BD27E2"/>
    <w:rsid w:val="00BD5D71"/>
    <w:rsid w:val="00BD5F8D"/>
    <w:rsid w:val="00BD6A37"/>
    <w:rsid w:val="00BE159C"/>
    <w:rsid w:val="00BE159D"/>
    <w:rsid w:val="00BE18D7"/>
    <w:rsid w:val="00BE516A"/>
    <w:rsid w:val="00BE6402"/>
    <w:rsid w:val="00BF0FB0"/>
    <w:rsid w:val="00BF4A7A"/>
    <w:rsid w:val="00BF5920"/>
    <w:rsid w:val="00BF6CA0"/>
    <w:rsid w:val="00C01266"/>
    <w:rsid w:val="00C101EC"/>
    <w:rsid w:val="00C11948"/>
    <w:rsid w:val="00C12FD6"/>
    <w:rsid w:val="00C1533A"/>
    <w:rsid w:val="00C22FE5"/>
    <w:rsid w:val="00C24DE3"/>
    <w:rsid w:val="00C262F3"/>
    <w:rsid w:val="00C3004A"/>
    <w:rsid w:val="00C30C34"/>
    <w:rsid w:val="00C30F79"/>
    <w:rsid w:val="00C317CB"/>
    <w:rsid w:val="00C327BF"/>
    <w:rsid w:val="00C32EF2"/>
    <w:rsid w:val="00C33F4F"/>
    <w:rsid w:val="00C40774"/>
    <w:rsid w:val="00C42C1A"/>
    <w:rsid w:val="00C43F6C"/>
    <w:rsid w:val="00C46CFF"/>
    <w:rsid w:val="00C474DD"/>
    <w:rsid w:val="00C50436"/>
    <w:rsid w:val="00C50CF2"/>
    <w:rsid w:val="00C53CDD"/>
    <w:rsid w:val="00C6198B"/>
    <w:rsid w:val="00C61BAC"/>
    <w:rsid w:val="00C63118"/>
    <w:rsid w:val="00C63D00"/>
    <w:rsid w:val="00C66B8A"/>
    <w:rsid w:val="00C67426"/>
    <w:rsid w:val="00C75FD4"/>
    <w:rsid w:val="00C814E2"/>
    <w:rsid w:val="00C8716A"/>
    <w:rsid w:val="00C9009C"/>
    <w:rsid w:val="00C92273"/>
    <w:rsid w:val="00C92FA9"/>
    <w:rsid w:val="00C93C02"/>
    <w:rsid w:val="00C94BED"/>
    <w:rsid w:val="00C9556C"/>
    <w:rsid w:val="00C97516"/>
    <w:rsid w:val="00CA2728"/>
    <w:rsid w:val="00CA3D75"/>
    <w:rsid w:val="00CA4738"/>
    <w:rsid w:val="00CA6816"/>
    <w:rsid w:val="00CB60CC"/>
    <w:rsid w:val="00CB6469"/>
    <w:rsid w:val="00CB7F67"/>
    <w:rsid w:val="00CC1F62"/>
    <w:rsid w:val="00CC2255"/>
    <w:rsid w:val="00CC3B26"/>
    <w:rsid w:val="00CC3D2F"/>
    <w:rsid w:val="00CC3DAE"/>
    <w:rsid w:val="00CC5581"/>
    <w:rsid w:val="00CC5A62"/>
    <w:rsid w:val="00CC62D7"/>
    <w:rsid w:val="00CC64A2"/>
    <w:rsid w:val="00CD14EA"/>
    <w:rsid w:val="00CD45DE"/>
    <w:rsid w:val="00CD47BE"/>
    <w:rsid w:val="00CE04A2"/>
    <w:rsid w:val="00CE5580"/>
    <w:rsid w:val="00CE68BC"/>
    <w:rsid w:val="00D00E43"/>
    <w:rsid w:val="00D01625"/>
    <w:rsid w:val="00D07E60"/>
    <w:rsid w:val="00D12ADC"/>
    <w:rsid w:val="00D203C0"/>
    <w:rsid w:val="00D260FE"/>
    <w:rsid w:val="00D31E14"/>
    <w:rsid w:val="00D32E24"/>
    <w:rsid w:val="00D3332E"/>
    <w:rsid w:val="00D37CA1"/>
    <w:rsid w:val="00D40509"/>
    <w:rsid w:val="00D40DAE"/>
    <w:rsid w:val="00D416C4"/>
    <w:rsid w:val="00D44762"/>
    <w:rsid w:val="00D4753A"/>
    <w:rsid w:val="00D47ABD"/>
    <w:rsid w:val="00D54065"/>
    <w:rsid w:val="00D546DA"/>
    <w:rsid w:val="00D5477F"/>
    <w:rsid w:val="00D54E5E"/>
    <w:rsid w:val="00D562DA"/>
    <w:rsid w:val="00D5758B"/>
    <w:rsid w:val="00D57774"/>
    <w:rsid w:val="00D608E3"/>
    <w:rsid w:val="00D6123D"/>
    <w:rsid w:val="00D707FE"/>
    <w:rsid w:val="00D72DE0"/>
    <w:rsid w:val="00D73853"/>
    <w:rsid w:val="00D74ED0"/>
    <w:rsid w:val="00D75295"/>
    <w:rsid w:val="00D75F55"/>
    <w:rsid w:val="00D76F8A"/>
    <w:rsid w:val="00D77A4C"/>
    <w:rsid w:val="00D816EB"/>
    <w:rsid w:val="00D8239E"/>
    <w:rsid w:val="00D84A9A"/>
    <w:rsid w:val="00D8764B"/>
    <w:rsid w:val="00D87B8C"/>
    <w:rsid w:val="00D901FA"/>
    <w:rsid w:val="00D919CB"/>
    <w:rsid w:val="00D93828"/>
    <w:rsid w:val="00D939C4"/>
    <w:rsid w:val="00D97210"/>
    <w:rsid w:val="00DA0575"/>
    <w:rsid w:val="00DA07A2"/>
    <w:rsid w:val="00DA215B"/>
    <w:rsid w:val="00DA30C5"/>
    <w:rsid w:val="00DA6ACC"/>
    <w:rsid w:val="00DA6B17"/>
    <w:rsid w:val="00DA6ECD"/>
    <w:rsid w:val="00DB3741"/>
    <w:rsid w:val="00DB56D3"/>
    <w:rsid w:val="00DB736F"/>
    <w:rsid w:val="00DC0CE5"/>
    <w:rsid w:val="00DC44CC"/>
    <w:rsid w:val="00DC4926"/>
    <w:rsid w:val="00DC5520"/>
    <w:rsid w:val="00DD22E5"/>
    <w:rsid w:val="00DD25C5"/>
    <w:rsid w:val="00DD3358"/>
    <w:rsid w:val="00DD3D8A"/>
    <w:rsid w:val="00DD5330"/>
    <w:rsid w:val="00DD614E"/>
    <w:rsid w:val="00DD6A79"/>
    <w:rsid w:val="00DE138A"/>
    <w:rsid w:val="00DE28E4"/>
    <w:rsid w:val="00DE6E43"/>
    <w:rsid w:val="00DE7A34"/>
    <w:rsid w:val="00DF2AA2"/>
    <w:rsid w:val="00DF3658"/>
    <w:rsid w:val="00DF7B92"/>
    <w:rsid w:val="00E0156E"/>
    <w:rsid w:val="00E01D97"/>
    <w:rsid w:val="00E0301E"/>
    <w:rsid w:val="00E06568"/>
    <w:rsid w:val="00E108A9"/>
    <w:rsid w:val="00E11401"/>
    <w:rsid w:val="00E170E9"/>
    <w:rsid w:val="00E20404"/>
    <w:rsid w:val="00E20D7B"/>
    <w:rsid w:val="00E22F60"/>
    <w:rsid w:val="00E276A3"/>
    <w:rsid w:val="00E32333"/>
    <w:rsid w:val="00E32C0C"/>
    <w:rsid w:val="00E342C6"/>
    <w:rsid w:val="00E406D8"/>
    <w:rsid w:val="00E41241"/>
    <w:rsid w:val="00E428F6"/>
    <w:rsid w:val="00E44672"/>
    <w:rsid w:val="00E504B0"/>
    <w:rsid w:val="00E51216"/>
    <w:rsid w:val="00E524C7"/>
    <w:rsid w:val="00E54154"/>
    <w:rsid w:val="00E544C2"/>
    <w:rsid w:val="00E5521D"/>
    <w:rsid w:val="00E61032"/>
    <w:rsid w:val="00E618C9"/>
    <w:rsid w:val="00E61F34"/>
    <w:rsid w:val="00E67D7E"/>
    <w:rsid w:val="00E705BA"/>
    <w:rsid w:val="00E70A7F"/>
    <w:rsid w:val="00E73D06"/>
    <w:rsid w:val="00E80537"/>
    <w:rsid w:val="00E81198"/>
    <w:rsid w:val="00E85A58"/>
    <w:rsid w:val="00E879B5"/>
    <w:rsid w:val="00E92D70"/>
    <w:rsid w:val="00E93FE9"/>
    <w:rsid w:val="00E950B9"/>
    <w:rsid w:val="00E974E8"/>
    <w:rsid w:val="00EA1474"/>
    <w:rsid w:val="00EA22C3"/>
    <w:rsid w:val="00EA7B34"/>
    <w:rsid w:val="00EA7C9E"/>
    <w:rsid w:val="00EB181A"/>
    <w:rsid w:val="00EB6309"/>
    <w:rsid w:val="00EB7D39"/>
    <w:rsid w:val="00EC1F01"/>
    <w:rsid w:val="00EC3D82"/>
    <w:rsid w:val="00EC65CD"/>
    <w:rsid w:val="00EE27FE"/>
    <w:rsid w:val="00EE3561"/>
    <w:rsid w:val="00EE366F"/>
    <w:rsid w:val="00EE3BDD"/>
    <w:rsid w:val="00EE5C92"/>
    <w:rsid w:val="00EE618B"/>
    <w:rsid w:val="00EE7FA1"/>
    <w:rsid w:val="00EF3373"/>
    <w:rsid w:val="00F017E3"/>
    <w:rsid w:val="00F03408"/>
    <w:rsid w:val="00F03543"/>
    <w:rsid w:val="00F1071E"/>
    <w:rsid w:val="00F12CC1"/>
    <w:rsid w:val="00F14C1E"/>
    <w:rsid w:val="00F15F07"/>
    <w:rsid w:val="00F22F0C"/>
    <w:rsid w:val="00F23CAA"/>
    <w:rsid w:val="00F273B6"/>
    <w:rsid w:val="00F31C0D"/>
    <w:rsid w:val="00F3215B"/>
    <w:rsid w:val="00F34189"/>
    <w:rsid w:val="00F36724"/>
    <w:rsid w:val="00F420C8"/>
    <w:rsid w:val="00F4366F"/>
    <w:rsid w:val="00F522BE"/>
    <w:rsid w:val="00F554AD"/>
    <w:rsid w:val="00F56AF0"/>
    <w:rsid w:val="00F709F2"/>
    <w:rsid w:val="00F71A13"/>
    <w:rsid w:val="00F75099"/>
    <w:rsid w:val="00F80DD6"/>
    <w:rsid w:val="00F86CC7"/>
    <w:rsid w:val="00F91BCA"/>
    <w:rsid w:val="00F932A1"/>
    <w:rsid w:val="00F94367"/>
    <w:rsid w:val="00F96246"/>
    <w:rsid w:val="00FA0BF9"/>
    <w:rsid w:val="00FA2519"/>
    <w:rsid w:val="00FA5259"/>
    <w:rsid w:val="00FA78BD"/>
    <w:rsid w:val="00FB07C5"/>
    <w:rsid w:val="00FB3DD5"/>
    <w:rsid w:val="00FB4F81"/>
    <w:rsid w:val="00FB6352"/>
    <w:rsid w:val="00FB70A9"/>
    <w:rsid w:val="00FC0094"/>
    <w:rsid w:val="00FC42E4"/>
    <w:rsid w:val="00FD2C4B"/>
    <w:rsid w:val="00FD2EA7"/>
    <w:rsid w:val="00FD3D10"/>
    <w:rsid w:val="00FD40EA"/>
    <w:rsid w:val="00FD4A23"/>
    <w:rsid w:val="00FD5038"/>
    <w:rsid w:val="00FD6546"/>
    <w:rsid w:val="00FD6A25"/>
    <w:rsid w:val="00FD76E2"/>
    <w:rsid w:val="00FD7D46"/>
    <w:rsid w:val="00FE0168"/>
    <w:rsid w:val="00FE2416"/>
    <w:rsid w:val="00FE36AA"/>
    <w:rsid w:val="00FE4171"/>
    <w:rsid w:val="00FE4EB0"/>
    <w:rsid w:val="00FE4FAC"/>
    <w:rsid w:val="00FE7240"/>
    <w:rsid w:val="00FF0202"/>
    <w:rsid w:val="00FF04DF"/>
    <w:rsid w:val="00FF0EEF"/>
    <w:rsid w:val="00FF5D6F"/>
    <w:rsid w:val="00FF65D8"/>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04"/>
    <w:pPr>
      <w:spacing w:after="0" w:line="264" w:lineRule="auto"/>
      <w:ind w:firstLine="284"/>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61D1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25D9B"/>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1D15"/>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6">
    <w:name w:val="heading 6"/>
    <w:aliases w:val="Heading 6 Char Char"/>
    <w:basedOn w:val="Normal"/>
    <w:next w:val="Normal"/>
    <w:link w:val="Heading6Char"/>
    <w:unhideWhenUsed/>
    <w:qFormat/>
    <w:rsid w:val="0006597C"/>
    <w:pPr>
      <w:keepNext/>
      <w:keepLines/>
      <w:spacing w:before="200" w:line="276" w:lineRule="auto"/>
      <w:outlineLvl w:val="5"/>
    </w:pPr>
    <w:rPr>
      <w:rFonts w:asciiTheme="majorHAnsi" w:eastAsiaTheme="majorEastAsia" w:hAnsiTheme="maj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Heading 6 Char Char Char"/>
    <w:basedOn w:val="DefaultParagraphFont"/>
    <w:link w:val="Heading6"/>
    <w:rsid w:val="0006597C"/>
    <w:rPr>
      <w:rFonts w:asciiTheme="majorHAnsi" w:eastAsiaTheme="majorEastAsia" w:hAnsiTheme="majorHAnsi" w:cstheme="majorBidi"/>
      <w:i/>
      <w:iCs/>
      <w:color w:val="1F3763" w:themeColor="accent1" w:themeShade="7F"/>
    </w:rPr>
  </w:style>
  <w:style w:type="paragraph" w:styleId="ListParagraph">
    <w:name w:val="List Paragraph"/>
    <w:aliases w:val="abc"/>
    <w:basedOn w:val="Normal"/>
    <w:link w:val="ListParagraphChar"/>
    <w:uiPriority w:val="34"/>
    <w:qFormat/>
    <w:rsid w:val="0006597C"/>
    <w:pPr>
      <w:spacing w:after="200"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rsid w:val="0006597C"/>
    <w:pPr>
      <w:spacing w:before="100" w:beforeAutospacing="1" w:after="100" w:afterAutospacing="1"/>
    </w:pPr>
  </w:style>
  <w:style w:type="character" w:styleId="Strong">
    <w:name w:val="Strong"/>
    <w:uiPriority w:val="22"/>
    <w:qFormat/>
    <w:rsid w:val="0006597C"/>
    <w:rPr>
      <w:rFonts w:cs="Times New Roman"/>
      <w:b/>
    </w:rPr>
  </w:style>
  <w:style w:type="paragraph" w:styleId="Header">
    <w:name w:val="header"/>
    <w:basedOn w:val="Normal"/>
    <w:link w:val="HeaderChar"/>
    <w:uiPriority w:val="99"/>
    <w:unhideWhenUsed/>
    <w:rsid w:val="0006597C"/>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6597C"/>
  </w:style>
  <w:style w:type="paragraph" w:styleId="Footer">
    <w:name w:val="footer"/>
    <w:basedOn w:val="Normal"/>
    <w:link w:val="FooterChar"/>
    <w:uiPriority w:val="99"/>
    <w:unhideWhenUsed/>
    <w:rsid w:val="0006597C"/>
    <w:pPr>
      <w:tabs>
        <w:tab w:val="center" w:pos="4680"/>
        <w:tab w:val="right" w:pos="9360"/>
      </w:tabs>
    </w:pPr>
  </w:style>
  <w:style w:type="character" w:customStyle="1" w:styleId="FooterChar">
    <w:name w:val="Footer Char"/>
    <w:basedOn w:val="DefaultParagraphFont"/>
    <w:link w:val="Footer"/>
    <w:uiPriority w:val="99"/>
    <w:rsid w:val="0006597C"/>
    <w:rPr>
      <w:rFonts w:ascii="Times New Roman" w:eastAsia="Times New Roman" w:hAnsi="Times New Roman" w:cs="Times New Roman"/>
      <w:sz w:val="24"/>
      <w:szCs w:val="24"/>
    </w:rPr>
  </w:style>
  <w:style w:type="paragraph" w:styleId="BodyText">
    <w:name w:val="Body Text"/>
    <w:basedOn w:val="Normal"/>
    <w:link w:val="BodyTextChar"/>
    <w:uiPriority w:val="99"/>
    <w:rsid w:val="0006597C"/>
    <w:rPr>
      <w:rFonts w:ascii=".VnTime" w:hAnsi=".VnTime"/>
      <w:sz w:val="26"/>
    </w:rPr>
  </w:style>
  <w:style w:type="character" w:customStyle="1" w:styleId="BodyTextChar">
    <w:name w:val="Body Text Char"/>
    <w:basedOn w:val="DefaultParagraphFont"/>
    <w:link w:val="BodyText"/>
    <w:uiPriority w:val="99"/>
    <w:rsid w:val="0006597C"/>
    <w:rPr>
      <w:rFonts w:ascii=".VnTime" w:eastAsia="Times New Roman" w:hAnsi=".VnTime" w:cs="Times New Roman"/>
      <w:sz w:val="26"/>
      <w:szCs w:val="24"/>
    </w:rPr>
  </w:style>
  <w:style w:type="character" w:customStyle="1" w:styleId="apple-converted-space">
    <w:name w:val="apple-converted-space"/>
    <w:basedOn w:val="DefaultParagraphFont"/>
    <w:rsid w:val="0006597C"/>
  </w:style>
  <w:style w:type="character" w:customStyle="1" w:styleId="ListParagraphChar">
    <w:name w:val="List Paragraph Char"/>
    <w:aliases w:val="abc Char"/>
    <w:link w:val="ListParagraph"/>
    <w:uiPriority w:val="34"/>
    <w:locked/>
    <w:rsid w:val="0006597C"/>
  </w:style>
  <w:style w:type="paragraph" w:styleId="NoSpacing">
    <w:name w:val="No Spacing"/>
    <w:uiPriority w:val="1"/>
    <w:qFormat/>
    <w:rsid w:val="0006597C"/>
    <w:pPr>
      <w:spacing w:after="0" w:line="240" w:lineRule="auto"/>
    </w:pPr>
    <w:rPr>
      <w:rFonts w:ascii=".VnTime" w:eastAsia="Calibri" w:hAnsi=".VnTime" w:cs="Times New Roman"/>
      <w:sz w:val="28"/>
    </w:rPr>
  </w:style>
  <w:style w:type="character" w:styleId="PageNumber">
    <w:name w:val="page number"/>
    <w:basedOn w:val="DefaultParagraphFont"/>
    <w:unhideWhenUsed/>
    <w:rsid w:val="0006597C"/>
  </w:style>
  <w:style w:type="character" w:customStyle="1" w:styleId="Heading1Char">
    <w:name w:val="Heading 1 Char"/>
    <w:basedOn w:val="DefaultParagraphFont"/>
    <w:link w:val="Heading1"/>
    <w:uiPriority w:val="9"/>
    <w:rsid w:val="00661D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5D9B"/>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661D15"/>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D75F55"/>
  </w:style>
  <w:style w:type="paragraph" w:customStyle="1" w:styleId="L2">
    <w:name w:val="L2"/>
    <w:basedOn w:val="Normal"/>
    <w:uiPriority w:val="99"/>
    <w:qFormat/>
    <w:rsid w:val="00D75F55"/>
    <w:pPr>
      <w:spacing w:line="312" w:lineRule="auto"/>
      <w:outlineLvl w:val="1"/>
    </w:pPr>
    <w:rPr>
      <w:rFonts w:eastAsiaTheme="minorHAnsi"/>
      <w:b/>
      <w:bCs/>
      <w:i/>
      <w:iCs/>
      <w:sz w:val="26"/>
      <w:szCs w:val="26"/>
    </w:rPr>
  </w:style>
  <w:style w:type="character" w:styleId="CommentReference">
    <w:name w:val="annotation reference"/>
    <w:basedOn w:val="DefaultParagraphFont"/>
    <w:uiPriority w:val="99"/>
    <w:semiHidden/>
    <w:unhideWhenUsed/>
    <w:rsid w:val="0094767E"/>
    <w:rPr>
      <w:sz w:val="16"/>
      <w:szCs w:val="16"/>
    </w:rPr>
  </w:style>
  <w:style w:type="paragraph" w:styleId="CommentText">
    <w:name w:val="annotation text"/>
    <w:basedOn w:val="Normal"/>
    <w:link w:val="CommentTextChar"/>
    <w:uiPriority w:val="99"/>
    <w:unhideWhenUsed/>
    <w:rsid w:val="00C814E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814E2"/>
    <w:rPr>
      <w:sz w:val="20"/>
      <w:szCs w:val="20"/>
    </w:rPr>
  </w:style>
  <w:style w:type="paragraph" w:customStyle="1" w:styleId="bng">
    <w:name w:val="bảng"/>
    <w:basedOn w:val="Normal"/>
    <w:qFormat/>
    <w:rsid w:val="00BF6CA0"/>
    <w:pPr>
      <w:spacing w:line="312" w:lineRule="auto"/>
      <w:jc w:val="center"/>
    </w:pPr>
    <w:rPr>
      <w:rFonts w:eastAsiaTheme="minorHAnsi"/>
      <w:b/>
      <w:bCs/>
      <w:sz w:val="26"/>
      <w:szCs w:val="26"/>
    </w:rPr>
  </w:style>
  <w:style w:type="paragraph" w:styleId="TOC3">
    <w:name w:val="toc 3"/>
    <w:basedOn w:val="Normal"/>
    <w:next w:val="Normal"/>
    <w:autoRedefine/>
    <w:uiPriority w:val="39"/>
    <w:unhideWhenUsed/>
    <w:rsid w:val="003D4878"/>
    <w:pPr>
      <w:tabs>
        <w:tab w:val="right" w:leader="dot" w:pos="8777"/>
      </w:tabs>
      <w:spacing w:line="312" w:lineRule="auto"/>
    </w:pPr>
    <w:rPr>
      <w:rFonts w:eastAsiaTheme="minorHAnsi"/>
      <w:b/>
      <w:bCs/>
      <w:i/>
      <w:iCs/>
      <w:noProof/>
      <w:sz w:val="26"/>
      <w:szCs w:val="26"/>
    </w:rPr>
  </w:style>
  <w:style w:type="table" w:customStyle="1" w:styleId="GridTable1Light1">
    <w:name w:val="Grid Table 1 Light1"/>
    <w:basedOn w:val="TableNormal"/>
    <w:uiPriority w:val="46"/>
    <w:rsid w:val="00A84AE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5C6328"/>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C632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04"/>
    <w:pPr>
      <w:spacing w:after="0" w:line="264" w:lineRule="auto"/>
      <w:ind w:firstLine="284"/>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61D1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25D9B"/>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1D15"/>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6">
    <w:name w:val="heading 6"/>
    <w:aliases w:val="Heading 6 Char Char"/>
    <w:basedOn w:val="Normal"/>
    <w:next w:val="Normal"/>
    <w:link w:val="Heading6Char"/>
    <w:unhideWhenUsed/>
    <w:qFormat/>
    <w:rsid w:val="0006597C"/>
    <w:pPr>
      <w:keepNext/>
      <w:keepLines/>
      <w:spacing w:before="200" w:line="276" w:lineRule="auto"/>
      <w:outlineLvl w:val="5"/>
    </w:pPr>
    <w:rPr>
      <w:rFonts w:asciiTheme="majorHAnsi" w:eastAsiaTheme="majorEastAsia" w:hAnsiTheme="maj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Heading 6 Char Char Char"/>
    <w:basedOn w:val="DefaultParagraphFont"/>
    <w:link w:val="Heading6"/>
    <w:rsid w:val="0006597C"/>
    <w:rPr>
      <w:rFonts w:asciiTheme="majorHAnsi" w:eastAsiaTheme="majorEastAsia" w:hAnsiTheme="majorHAnsi" w:cstheme="majorBidi"/>
      <w:i/>
      <w:iCs/>
      <w:color w:val="1F3763" w:themeColor="accent1" w:themeShade="7F"/>
    </w:rPr>
  </w:style>
  <w:style w:type="paragraph" w:styleId="ListParagraph">
    <w:name w:val="List Paragraph"/>
    <w:aliases w:val="abc"/>
    <w:basedOn w:val="Normal"/>
    <w:link w:val="ListParagraphChar"/>
    <w:uiPriority w:val="34"/>
    <w:qFormat/>
    <w:rsid w:val="0006597C"/>
    <w:pPr>
      <w:spacing w:after="200"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rsid w:val="0006597C"/>
    <w:pPr>
      <w:spacing w:before="100" w:beforeAutospacing="1" w:after="100" w:afterAutospacing="1"/>
    </w:pPr>
  </w:style>
  <w:style w:type="character" w:styleId="Strong">
    <w:name w:val="Strong"/>
    <w:uiPriority w:val="22"/>
    <w:qFormat/>
    <w:rsid w:val="0006597C"/>
    <w:rPr>
      <w:rFonts w:cs="Times New Roman"/>
      <w:b/>
    </w:rPr>
  </w:style>
  <w:style w:type="paragraph" w:styleId="Header">
    <w:name w:val="header"/>
    <w:basedOn w:val="Normal"/>
    <w:link w:val="HeaderChar"/>
    <w:uiPriority w:val="99"/>
    <w:unhideWhenUsed/>
    <w:rsid w:val="0006597C"/>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6597C"/>
  </w:style>
  <w:style w:type="paragraph" w:styleId="Footer">
    <w:name w:val="footer"/>
    <w:basedOn w:val="Normal"/>
    <w:link w:val="FooterChar"/>
    <w:uiPriority w:val="99"/>
    <w:unhideWhenUsed/>
    <w:rsid w:val="0006597C"/>
    <w:pPr>
      <w:tabs>
        <w:tab w:val="center" w:pos="4680"/>
        <w:tab w:val="right" w:pos="9360"/>
      </w:tabs>
    </w:pPr>
  </w:style>
  <w:style w:type="character" w:customStyle="1" w:styleId="FooterChar">
    <w:name w:val="Footer Char"/>
    <w:basedOn w:val="DefaultParagraphFont"/>
    <w:link w:val="Footer"/>
    <w:uiPriority w:val="99"/>
    <w:rsid w:val="0006597C"/>
    <w:rPr>
      <w:rFonts w:ascii="Times New Roman" w:eastAsia="Times New Roman" w:hAnsi="Times New Roman" w:cs="Times New Roman"/>
      <w:sz w:val="24"/>
      <w:szCs w:val="24"/>
    </w:rPr>
  </w:style>
  <w:style w:type="paragraph" w:styleId="BodyText">
    <w:name w:val="Body Text"/>
    <w:basedOn w:val="Normal"/>
    <w:link w:val="BodyTextChar"/>
    <w:uiPriority w:val="99"/>
    <w:rsid w:val="0006597C"/>
    <w:rPr>
      <w:rFonts w:ascii=".VnTime" w:hAnsi=".VnTime"/>
      <w:sz w:val="26"/>
    </w:rPr>
  </w:style>
  <w:style w:type="character" w:customStyle="1" w:styleId="BodyTextChar">
    <w:name w:val="Body Text Char"/>
    <w:basedOn w:val="DefaultParagraphFont"/>
    <w:link w:val="BodyText"/>
    <w:uiPriority w:val="99"/>
    <w:rsid w:val="0006597C"/>
    <w:rPr>
      <w:rFonts w:ascii=".VnTime" w:eastAsia="Times New Roman" w:hAnsi=".VnTime" w:cs="Times New Roman"/>
      <w:sz w:val="26"/>
      <w:szCs w:val="24"/>
    </w:rPr>
  </w:style>
  <w:style w:type="character" w:customStyle="1" w:styleId="apple-converted-space">
    <w:name w:val="apple-converted-space"/>
    <w:basedOn w:val="DefaultParagraphFont"/>
    <w:rsid w:val="0006597C"/>
  </w:style>
  <w:style w:type="character" w:customStyle="1" w:styleId="ListParagraphChar">
    <w:name w:val="List Paragraph Char"/>
    <w:aliases w:val="abc Char"/>
    <w:link w:val="ListParagraph"/>
    <w:uiPriority w:val="34"/>
    <w:locked/>
    <w:rsid w:val="0006597C"/>
  </w:style>
  <w:style w:type="paragraph" w:styleId="NoSpacing">
    <w:name w:val="No Spacing"/>
    <w:uiPriority w:val="1"/>
    <w:qFormat/>
    <w:rsid w:val="0006597C"/>
    <w:pPr>
      <w:spacing w:after="0" w:line="240" w:lineRule="auto"/>
    </w:pPr>
    <w:rPr>
      <w:rFonts w:ascii=".VnTime" w:eastAsia="Calibri" w:hAnsi=".VnTime" w:cs="Times New Roman"/>
      <w:sz w:val="28"/>
    </w:rPr>
  </w:style>
  <w:style w:type="character" w:styleId="PageNumber">
    <w:name w:val="page number"/>
    <w:basedOn w:val="DefaultParagraphFont"/>
    <w:unhideWhenUsed/>
    <w:rsid w:val="0006597C"/>
  </w:style>
  <w:style w:type="character" w:customStyle="1" w:styleId="Heading1Char">
    <w:name w:val="Heading 1 Char"/>
    <w:basedOn w:val="DefaultParagraphFont"/>
    <w:link w:val="Heading1"/>
    <w:uiPriority w:val="9"/>
    <w:rsid w:val="00661D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5D9B"/>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661D15"/>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D75F55"/>
  </w:style>
  <w:style w:type="paragraph" w:customStyle="1" w:styleId="L2">
    <w:name w:val="L2"/>
    <w:basedOn w:val="Normal"/>
    <w:uiPriority w:val="99"/>
    <w:qFormat/>
    <w:rsid w:val="00D75F55"/>
    <w:pPr>
      <w:spacing w:line="312" w:lineRule="auto"/>
      <w:outlineLvl w:val="1"/>
    </w:pPr>
    <w:rPr>
      <w:rFonts w:eastAsiaTheme="minorHAnsi"/>
      <w:b/>
      <w:bCs/>
      <w:i/>
      <w:iCs/>
      <w:sz w:val="26"/>
      <w:szCs w:val="26"/>
    </w:rPr>
  </w:style>
  <w:style w:type="character" w:styleId="CommentReference">
    <w:name w:val="annotation reference"/>
    <w:basedOn w:val="DefaultParagraphFont"/>
    <w:uiPriority w:val="99"/>
    <w:semiHidden/>
    <w:unhideWhenUsed/>
    <w:rsid w:val="0094767E"/>
    <w:rPr>
      <w:sz w:val="16"/>
      <w:szCs w:val="16"/>
    </w:rPr>
  </w:style>
  <w:style w:type="paragraph" w:styleId="CommentText">
    <w:name w:val="annotation text"/>
    <w:basedOn w:val="Normal"/>
    <w:link w:val="CommentTextChar"/>
    <w:uiPriority w:val="99"/>
    <w:unhideWhenUsed/>
    <w:rsid w:val="00C814E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814E2"/>
    <w:rPr>
      <w:sz w:val="20"/>
      <w:szCs w:val="20"/>
    </w:rPr>
  </w:style>
  <w:style w:type="paragraph" w:customStyle="1" w:styleId="bng">
    <w:name w:val="bảng"/>
    <w:basedOn w:val="Normal"/>
    <w:qFormat/>
    <w:rsid w:val="00BF6CA0"/>
    <w:pPr>
      <w:spacing w:line="312" w:lineRule="auto"/>
      <w:jc w:val="center"/>
    </w:pPr>
    <w:rPr>
      <w:rFonts w:eastAsiaTheme="minorHAnsi"/>
      <w:b/>
      <w:bCs/>
      <w:sz w:val="26"/>
      <w:szCs w:val="26"/>
    </w:rPr>
  </w:style>
  <w:style w:type="paragraph" w:styleId="TOC3">
    <w:name w:val="toc 3"/>
    <w:basedOn w:val="Normal"/>
    <w:next w:val="Normal"/>
    <w:autoRedefine/>
    <w:uiPriority w:val="39"/>
    <w:unhideWhenUsed/>
    <w:rsid w:val="003D4878"/>
    <w:pPr>
      <w:tabs>
        <w:tab w:val="right" w:leader="dot" w:pos="8777"/>
      </w:tabs>
      <w:spacing w:line="312" w:lineRule="auto"/>
    </w:pPr>
    <w:rPr>
      <w:rFonts w:eastAsiaTheme="minorHAnsi"/>
      <w:b/>
      <w:bCs/>
      <w:i/>
      <w:iCs/>
      <w:noProof/>
      <w:sz w:val="26"/>
      <w:szCs w:val="26"/>
    </w:rPr>
  </w:style>
  <w:style w:type="table" w:customStyle="1" w:styleId="GridTable1Light1">
    <w:name w:val="Grid Table 1 Light1"/>
    <w:basedOn w:val="TableNormal"/>
    <w:uiPriority w:val="46"/>
    <w:rsid w:val="00A84AE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5C6328"/>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C63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87953">
      <w:bodyDiv w:val="1"/>
      <w:marLeft w:val="0"/>
      <w:marRight w:val="0"/>
      <w:marTop w:val="0"/>
      <w:marBottom w:val="0"/>
      <w:divBdr>
        <w:top w:val="none" w:sz="0" w:space="0" w:color="auto"/>
        <w:left w:val="none" w:sz="0" w:space="0" w:color="auto"/>
        <w:bottom w:val="none" w:sz="0" w:space="0" w:color="auto"/>
        <w:right w:val="none" w:sz="0" w:space="0" w:color="auto"/>
      </w:divBdr>
      <w:divsChild>
        <w:div w:id="914894795">
          <w:marLeft w:val="0"/>
          <w:marRight w:val="0"/>
          <w:marTop w:val="0"/>
          <w:marBottom w:val="0"/>
          <w:divBdr>
            <w:top w:val="none" w:sz="0" w:space="0" w:color="auto"/>
            <w:left w:val="none" w:sz="0" w:space="0" w:color="auto"/>
            <w:bottom w:val="none" w:sz="0" w:space="0" w:color="auto"/>
            <w:right w:val="none" w:sz="0" w:space="0" w:color="auto"/>
          </w:divBdr>
          <w:divsChild>
            <w:div w:id="1593197798">
              <w:marLeft w:val="0"/>
              <w:marRight w:val="0"/>
              <w:marTop w:val="0"/>
              <w:marBottom w:val="0"/>
              <w:divBdr>
                <w:top w:val="none" w:sz="0" w:space="0" w:color="auto"/>
                <w:left w:val="none" w:sz="0" w:space="0" w:color="auto"/>
                <w:bottom w:val="none" w:sz="0" w:space="0" w:color="auto"/>
                <w:right w:val="none" w:sz="0" w:space="0" w:color="auto"/>
              </w:divBdr>
              <w:divsChild>
                <w:div w:id="1245530466">
                  <w:marLeft w:val="0"/>
                  <w:marRight w:val="0"/>
                  <w:marTop w:val="0"/>
                  <w:marBottom w:val="0"/>
                  <w:divBdr>
                    <w:top w:val="none" w:sz="0" w:space="0" w:color="auto"/>
                    <w:left w:val="none" w:sz="0" w:space="0" w:color="auto"/>
                    <w:bottom w:val="none" w:sz="0" w:space="0" w:color="auto"/>
                    <w:right w:val="none" w:sz="0" w:space="0" w:color="auto"/>
                  </w:divBdr>
                  <w:divsChild>
                    <w:div w:id="1231422012">
                      <w:marLeft w:val="0"/>
                      <w:marRight w:val="0"/>
                      <w:marTop w:val="0"/>
                      <w:marBottom w:val="0"/>
                      <w:divBdr>
                        <w:top w:val="none" w:sz="0" w:space="0" w:color="auto"/>
                        <w:left w:val="none" w:sz="0" w:space="0" w:color="auto"/>
                        <w:bottom w:val="none" w:sz="0" w:space="0" w:color="auto"/>
                        <w:right w:val="none" w:sz="0" w:space="0" w:color="auto"/>
                      </w:divBdr>
                      <w:divsChild>
                        <w:div w:id="1984579381">
                          <w:marLeft w:val="0"/>
                          <w:marRight w:val="0"/>
                          <w:marTop w:val="0"/>
                          <w:marBottom w:val="0"/>
                          <w:divBdr>
                            <w:top w:val="none" w:sz="0" w:space="0" w:color="auto"/>
                            <w:left w:val="none" w:sz="0" w:space="0" w:color="auto"/>
                            <w:bottom w:val="none" w:sz="0" w:space="0" w:color="auto"/>
                            <w:right w:val="none" w:sz="0" w:space="0" w:color="auto"/>
                          </w:divBdr>
                          <w:divsChild>
                            <w:div w:id="1329871345">
                              <w:marLeft w:val="0"/>
                              <w:marRight w:val="0"/>
                              <w:marTop w:val="75"/>
                              <w:marBottom w:val="75"/>
                              <w:divBdr>
                                <w:top w:val="none" w:sz="0" w:space="0" w:color="auto"/>
                                <w:left w:val="none" w:sz="0" w:space="0" w:color="auto"/>
                                <w:bottom w:val="none" w:sz="0" w:space="0" w:color="auto"/>
                                <w:right w:val="none" w:sz="0" w:space="0" w:color="auto"/>
                              </w:divBdr>
                              <w:divsChild>
                                <w:div w:id="1402213616">
                                  <w:marLeft w:val="0"/>
                                  <w:marRight w:val="0"/>
                                  <w:marTop w:val="0"/>
                                  <w:marBottom w:val="0"/>
                                  <w:divBdr>
                                    <w:top w:val="none" w:sz="0" w:space="0" w:color="auto"/>
                                    <w:left w:val="none" w:sz="0" w:space="0" w:color="auto"/>
                                    <w:bottom w:val="none" w:sz="0" w:space="0" w:color="auto"/>
                                    <w:right w:val="none" w:sz="0" w:space="0" w:color="auto"/>
                                  </w:divBdr>
                                  <w:divsChild>
                                    <w:div w:id="1232229444">
                                      <w:marLeft w:val="0"/>
                                      <w:marRight w:val="0"/>
                                      <w:marTop w:val="0"/>
                                      <w:marBottom w:val="0"/>
                                      <w:divBdr>
                                        <w:top w:val="none" w:sz="0" w:space="0" w:color="auto"/>
                                        <w:left w:val="none" w:sz="0" w:space="0" w:color="auto"/>
                                        <w:bottom w:val="none" w:sz="0" w:space="0" w:color="auto"/>
                                        <w:right w:val="none" w:sz="0" w:space="0" w:color="auto"/>
                                      </w:divBdr>
                                      <w:divsChild>
                                        <w:div w:id="1149250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547970">
      <w:bodyDiv w:val="1"/>
      <w:marLeft w:val="0"/>
      <w:marRight w:val="0"/>
      <w:marTop w:val="0"/>
      <w:marBottom w:val="0"/>
      <w:divBdr>
        <w:top w:val="none" w:sz="0" w:space="0" w:color="auto"/>
        <w:left w:val="none" w:sz="0" w:space="0" w:color="auto"/>
        <w:bottom w:val="none" w:sz="0" w:space="0" w:color="auto"/>
        <w:right w:val="none" w:sz="0" w:space="0" w:color="auto"/>
      </w:divBdr>
      <w:divsChild>
        <w:div w:id="1622371875">
          <w:marLeft w:val="0"/>
          <w:marRight w:val="0"/>
          <w:marTop w:val="0"/>
          <w:marBottom w:val="0"/>
          <w:divBdr>
            <w:top w:val="none" w:sz="0" w:space="0" w:color="auto"/>
            <w:left w:val="none" w:sz="0" w:space="0" w:color="auto"/>
            <w:bottom w:val="none" w:sz="0" w:space="0" w:color="auto"/>
            <w:right w:val="none" w:sz="0" w:space="0" w:color="auto"/>
          </w:divBdr>
          <w:divsChild>
            <w:div w:id="2136481500">
              <w:marLeft w:val="0"/>
              <w:marRight w:val="0"/>
              <w:marTop w:val="0"/>
              <w:marBottom w:val="0"/>
              <w:divBdr>
                <w:top w:val="none" w:sz="0" w:space="0" w:color="auto"/>
                <w:left w:val="none" w:sz="0" w:space="0" w:color="auto"/>
                <w:bottom w:val="none" w:sz="0" w:space="0" w:color="auto"/>
                <w:right w:val="none" w:sz="0" w:space="0" w:color="auto"/>
              </w:divBdr>
              <w:divsChild>
                <w:div w:id="748768758">
                  <w:marLeft w:val="0"/>
                  <w:marRight w:val="0"/>
                  <w:marTop w:val="0"/>
                  <w:marBottom w:val="0"/>
                  <w:divBdr>
                    <w:top w:val="none" w:sz="0" w:space="0" w:color="auto"/>
                    <w:left w:val="none" w:sz="0" w:space="0" w:color="auto"/>
                    <w:bottom w:val="none" w:sz="0" w:space="0" w:color="auto"/>
                    <w:right w:val="none" w:sz="0" w:space="0" w:color="auto"/>
                  </w:divBdr>
                  <w:divsChild>
                    <w:div w:id="780341344">
                      <w:marLeft w:val="0"/>
                      <w:marRight w:val="0"/>
                      <w:marTop w:val="0"/>
                      <w:marBottom w:val="0"/>
                      <w:divBdr>
                        <w:top w:val="none" w:sz="0" w:space="0" w:color="auto"/>
                        <w:left w:val="none" w:sz="0" w:space="0" w:color="auto"/>
                        <w:bottom w:val="none" w:sz="0" w:space="0" w:color="auto"/>
                        <w:right w:val="none" w:sz="0" w:space="0" w:color="auto"/>
                      </w:divBdr>
                      <w:divsChild>
                        <w:div w:id="1100879257">
                          <w:marLeft w:val="0"/>
                          <w:marRight w:val="0"/>
                          <w:marTop w:val="0"/>
                          <w:marBottom w:val="0"/>
                          <w:divBdr>
                            <w:top w:val="none" w:sz="0" w:space="0" w:color="auto"/>
                            <w:left w:val="none" w:sz="0" w:space="0" w:color="auto"/>
                            <w:bottom w:val="none" w:sz="0" w:space="0" w:color="auto"/>
                            <w:right w:val="none" w:sz="0" w:space="0" w:color="auto"/>
                          </w:divBdr>
                          <w:divsChild>
                            <w:div w:id="140391543">
                              <w:marLeft w:val="0"/>
                              <w:marRight w:val="0"/>
                              <w:marTop w:val="75"/>
                              <w:marBottom w:val="75"/>
                              <w:divBdr>
                                <w:top w:val="none" w:sz="0" w:space="0" w:color="auto"/>
                                <w:left w:val="none" w:sz="0" w:space="0" w:color="auto"/>
                                <w:bottom w:val="none" w:sz="0" w:space="0" w:color="auto"/>
                                <w:right w:val="none" w:sz="0" w:space="0" w:color="auto"/>
                              </w:divBdr>
                              <w:divsChild>
                                <w:div w:id="631056997">
                                  <w:marLeft w:val="0"/>
                                  <w:marRight w:val="0"/>
                                  <w:marTop w:val="0"/>
                                  <w:marBottom w:val="0"/>
                                  <w:divBdr>
                                    <w:top w:val="none" w:sz="0" w:space="0" w:color="auto"/>
                                    <w:left w:val="none" w:sz="0" w:space="0" w:color="auto"/>
                                    <w:bottom w:val="none" w:sz="0" w:space="0" w:color="auto"/>
                                    <w:right w:val="none" w:sz="0" w:space="0" w:color="auto"/>
                                  </w:divBdr>
                                  <w:divsChild>
                                    <w:div w:id="2015523936">
                                      <w:marLeft w:val="0"/>
                                      <w:marRight w:val="0"/>
                                      <w:marTop w:val="0"/>
                                      <w:marBottom w:val="0"/>
                                      <w:divBdr>
                                        <w:top w:val="none" w:sz="0" w:space="0" w:color="auto"/>
                                        <w:left w:val="none" w:sz="0" w:space="0" w:color="auto"/>
                                        <w:bottom w:val="none" w:sz="0" w:space="0" w:color="auto"/>
                                        <w:right w:val="none" w:sz="0" w:space="0" w:color="auto"/>
                                      </w:divBdr>
                                      <w:divsChild>
                                        <w:div w:id="18897578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B25B4-D814-4C63-BCD6-15020AF4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7587</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Nguyễn</dc:creator>
  <cp:lastModifiedBy>Sy Giang</cp:lastModifiedBy>
  <cp:revision>2</cp:revision>
  <dcterms:created xsi:type="dcterms:W3CDTF">2026-03-04T11:03:00Z</dcterms:created>
  <dcterms:modified xsi:type="dcterms:W3CDTF">2026-03-04T11:03:00Z</dcterms:modified>
</cp:coreProperties>
</file>