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49C5" w14:textId="283A9F37" w:rsidR="002D62A0" w:rsidRPr="006E052C" w:rsidRDefault="00153A13" w:rsidP="002D62A0">
      <w:pPr>
        <w:spacing w:before="240"/>
        <w:jc w:val="center"/>
        <w:rPr>
          <w:sz w:val="24"/>
          <w:szCs w:val="20"/>
        </w:rPr>
      </w:pPr>
      <w:r w:rsidRPr="006E052C">
        <w:rPr>
          <w:noProof/>
        </w:rPr>
        <mc:AlternateContent>
          <mc:Choice Requires="wps">
            <w:drawing>
              <wp:anchor distT="0" distB="0" distL="114300" distR="114300" simplePos="0" relativeHeight="251659264" behindDoc="1" locked="0" layoutInCell="1" allowOverlap="1" wp14:anchorId="1FAD6F7C" wp14:editId="6A856BE1">
                <wp:simplePos x="0" y="0"/>
                <wp:positionH relativeFrom="column">
                  <wp:posOffset>-635</wp:posOffset>
                </wp:positionH>
                <wp:positionV relativeFrom="paragraph">
                  <wp:posOffset>-6350</wp:posOffset>
                </wp:positionV>
                <wp:extent cx="4114800" cy="6362700"/>
                <wp:effectExtent l="19050" t="1905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3627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9BAD0" id="Rectangle 3" o:spid="_x0000_s1026" style="position:absolute;margin-left:-.05pt;margin-top:-.5pt;width:324pt;height:5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" strokeweight="3pt">
                <v:stroke linestyle="thinThin"/>
              </v:rect>
            </w:pict>
          </mc:Fallback>
        </mc:AlternateContent>
      </w:r>
      <w:r w:rsidR="002D62A0" w:rsidRPr="006E052C">
        <w:rPr>
          <w:sz w:val="24"/>
          <w:szCs w:val="20"/>
        </w:rPr>
        <w:t>BỘ GIÁO DỤC VÀ ĐÀO TẠO</w:t>
      </w:r>
    </w:p>
    <w:p w14:paraId="26BDF20B" w14:textId="70B699E3" w:rsidR="002D62A0" w:rsidRPr="006E052C" w:rsidRDefault="002D62A0" w:rsidP="002D62A0">
      <w:pPr>
        <w:jc w:val="center"/>
        <w:rPr>
          <w:b/>
          <w:bCs/>
          <w:sz w:val="24"/>
          <w:szCs w:val="20"/>
        </w:rPr>
      </w:pPr>
      <w:r w:rsidRPr="006E052C">
        <w:rPr>
          <w:b/>
          <w:bCs/>
          <w:sz w:val="24"/>
          <w:szCs w:val="20"/>
        </w:rPr>
        <w:t>TRƯỜNG ĐẠI HỌC THƯƠNG MẠI</w:t>
      </w:r>
    </w:p>
    <w:p w14:paraId="5FFB63EA" w14:textId="72649CAC" w:rsidR="002D62A0" w:rsidRPr="006E052C" w:rsidRDefault="002D62A0" w:rsidP="002D62A0">
      <w:pPr>
        <w:spacing w:line="312" w:lineRule="auto"/>
        <w:jc w:val="center"/>
        <w:rPr>
          <w:sz w:val="24"/>
          <w:szCs w:val="20"/>
        </w:rPr>
      </w:pPr>
      <w:r w:rsidRPr="006E052C">
        <w:rPr>
          <w:sz w:val="24"/>
          <w:szCs w:val="20"/>
        </w:rPr>
        <w:t>-------------------------</w:t>
      </w:r>
    </w:p>
    <w:p w14:paraId="5F9ABCC2" w14:textId="54FB36A6" w:rsidR="002D62A0" w:rsidRPr="006E052C" w:rsidRDefault="002D62A0" w:rsidP="002D62A0">
      <w:pPr>
        <w:spacing w:line="312" w:lineRule="auto"/>
        <w:jc w:val="center"/>
        <w:rPr>
          <w:sz w:val="24"/>
          <w:szCs w:val="20"/>
        </w:rPr>
      </w:pPr>
    </w:p>
    <w:p w14:paraId="4E485A55" w14:textId="72E13D4B" w:rsidR="002D62A0" w:rsidRPr="006E052C" w:rsidRDefault="002D62A0" w:rsidP="002D62A0">
      <w:pPr>
        <w:spacing w:line="312" w:lineRule="auto"/>
        <w:jc w:val="center"/>
        <w:rPr>
          <w:sz w:val="24"/>
          <w:szCs w:val="24"/>
        </w:rPr>
      </w:pPr>
    </w:p>
    <w:p w14:paraId="48BE5262" w14:textId="024DE47C" w:rsidR="002D62A0" w:rsidRPr="006E052C" w:rsidRDefault="00614BF7" w:rsidP="002D62A0">
      <w:pPr>
        <w:spacing w:line="312" w:lineRule="auto"/>
        <w:jc w:val="center"/>
        <w:rPr>
          <w:b/>
          <w:bCs/>
          <w:szCs w:val="20"/>
        </w:rPr>
      </w:pPr>
      <w:r>
        <w:rPr>
          <w:b/>
          <w:bCs/>
          <w:szCs w:val="20"/>
        </w:rPr>
        <w:t>HOÀNG TIẾN LINH</w:t>
      </w:r>
    </w:p>
    <w:p w14:paraId="486B5BD5" w14:textId="77777777" w:rsidR="002D62A0" w:rsidRPr="006E052C" w:rsidRDefault="002D62A0" w:rsidP="002D62A0">
      <w:pPr>
        <w:spacing w:line="312" w:lineRule="auto"/>
        <w:jc w:val="center"/>
        <w:rPr>
          <w:b/>
          <w:bCs/>
          <w:sz w:val="24"/>
          <w:szCs w:val="20"/>
        </w:rPr>
      </w:pPr>
    </w:p>
    <w:p w14:paraId="59AED93D" w14:textId="77777777" w:rsidR="002D62A0" w:rsidRPr="006E052C" w:rsidRDefault="002D62A0" w:rsidP="002D62A0">
      <w:pPr>
        <w:spacing w:line="312" w:lineRule="auto"/>
        <w:jc w:val="center"/>
        <w:rPr>
          <w:sz w:val="24"/>
          <w:szCs w:val="20"/>
        </w:rPr>
      </w:pPr>
    </w:p>
    <w:p w14:paraId="4E8A7624" w14:textId="3F930B24" w:rsidR="002D62A0" w:rsidRPr="006E052C" w:rsidRDefault="00155CCE" w:rsidP="002D62A0">
      <w:pPr>
        <w:spacing w:line="312" w:lineRule="auto"/>
        <w:jc w:val="center"/>
        <w:rPr>
          <w:b/>
          <w:sz w:val="26"/>
          <w:szCs w:val="26"/>
        </w:rPr>
      </w:pPr>
      <w:r w:rsidRPr="006E052C">
        <w:rPr>
          <w:b/>
          <w:bCs/>
          <w:sz w:val="26"/>
          <w:szCs w:val="26"/>
        </w:rPr>
        <w:t>NGHIÊN CỨU HÀNH VI ĐẦU TƯ XANH CỦA CÁC DOANH NGHIỆP FDI TRÊN ĐỊA BÀN THÀNH PHỐ HÀ NỘI</w:t>
      </w:r>
    </w:p>
    <w:p w14:paraId="6C927B45" w14:textId="77777777" w:rsidR="00153A13" w:rsidRPr="006E052C" w:rsidRDefault="00153A13" w:rsidP="00153A13">
      <w:pPr>
        <w:spacing w:line="312" w:lineRule="auto"/>
        <w:jc w:val="center"/>
        <w:rPr>
          <w:b/>
          <w:sz w:val="24"/>
        </w:rPr>
      </w:pPr>
    </w:p>
    <w:p w14:paraId="6D141C94" w14:textId="26773114" w:rsidR="00153A13" w:rsidRPr="006E052C" w:rsidRDefault="00153A13" w:rsidP="00153A13">
      <w:pPr>
        <w:spacing w:line="312" w:lineRule="auto"/>
        <w:jc w:val="center"/>
        <w:rPr>
          <w:b/>
          <w:sz w:val="26"/>
        </w:rPr>
      </w:pPr>
      <w:r w:rsidRPr="006E052C">
        <w:rPr>
          <w:b/>
          <w:sz w:val="26"/>
        </w:rPr>
        <w:t xml:space="preserve">Chuyên ngành: </w:t>
      </w:r>
      <w:r w:rsidR="00155CCE" w:rsidRPr="006E052C">
        <w:rPr>
          <w:b/>
          <w:sz w:val="26"/>
        </w:rPr>
        <w:t>Quản trị kinh doanh</w:t>
      </w:r>
    </w:p>
    <w:p w14:paraId="61DF1FD9" w14:textId="0B2472FC" w:rsidR="002D62A0" w:rsidRPr="006E052C" w:rsidRDefault="00153A13" w:rsidP="00153A13">
      <w:pPr>
        <w:spacing w:line="312" w:lineRule="auto"/>
        <w:jc w:val="center"/>
        <w:rPr>
          <w:sz w:val="26"/>
          <w:szCs w:val="20"/>
        </w:rPr>
      </w:pPr>
      <w:r w:rsidRPr="006E052C">
        <w:rPr>
          <w:b/>
          <w:sz w:val="26"/>
        </w:rPr>
        <w:t>Mã số: 9340</w:t>
      </w:r>
      <w:r w:rsidR="00155CCE" w:rsidRPr="006E052C">
        <w:rPr>
          <w:b/>
          <w:sz w:val="26"/>
        </w:rPr>
        <w:t>1</w:t>
      </w:r>
      <w:r w:rsidRPr="006E052C">
        <w:rPr>
          <w:b/>
          <w:sz w:val="26"/>
        </w:rPr>
        <w:t>01</w:t>
      </w:r>
    </w:p>
    <w:p w14:paraId="47D5A019" w14:textId="77777777" w:rsidR="002D62A0" w:rsidRPr="006E052C" w:rsidRDefault="002D62A0" w:rsidP="002D62A0">
      <w:pPr>
        <w:spacing w:line="312" w:lineRule="auto"/>
        <w:jc w:val="center"/>
        <w:rPr>
          <w:sz w:val="24"/>
          <w:szCs w:val="20"/>
        </w:rPr>
      </w:pPr>
    </w:p>
    <w:p w14:paraId="696BB7DF" w14:textId="77777777" w:rsidR="002D62A0" w:rsidRPr="006E052C" w:rsidRDefault="002D62A0" w:rsidP="002D62A0">
      <w:pPr>
        <w:spacing w:line="312" w:lineRule="auto"/>
        <w:jc w:val="center"/>
        <w:rPr>
          <w:sz w:val="24"/>
          <w:szCs w:val="20"/>
        </w:rPr>
      </w:pPr>
    </w:p>
    <w:p w14:paraId="2F292FB4" w14:textId="77777777" w:rsidR="002D62A0" w:rsidRPr="006E052C" w:rsidRDefault="002D62A0" w:rsidP="002D62A0">
      <w:pPr>
        <w:spacing w:line="312" w:lineRule="auto"/>
        <w:jc w:val="center"/>
        <w:rPr>
          <w:b/>
          <w:bCs/>
          <w:iCs/>
          <w:sz w:val="28"/>
          <w:szCs w:val="24"/>
        </w:rPr>
      </w:pPr>
      <w:r w:rsidRPr="006E052C">
        <w:rPr>
          <w:b/>
          <w:bCs/>
          <w:iCs/>
          <w:sz w:val="28"/>
          <w:szCs w:val="24"/>
        </w:rPr>
        <w:t>Tóm tắt luận án tiến sĩ kinh tế</w:t>
      </w:r>
    </w:p>
    <w:p w14:paraId="5A17D55F" w14:textId="77777777" w:rsidR="002D62A0" w:rsidRPr="006E052C" w:rsidRDefault="002D62A0" w:rsidP="002D62A0">
      <w:pPr>
        <w:spacing w:line="312" w:lineRule="auto"/>
        <w:jc w:val="center"/>
        <w:rPr>
          <w:szCs w:val="28"/>
        </w:rPr>
      </w:pPr>
    </w:p>
    <w:p w14:paraId="5F617434" w14:textId="77777777" w:rsidR="002D62A0" w:rsidRPr="006E052C" w:rsidRDefault="002D62A0" w:rsidP="002D62A0">
      <w:pPr>
        <w:spacing w:line="312" w:lineRule="auto"/>
        <w:jc w:val="center"/>
        <w:rPr>
          <w:szCs w:val="28"/>
        </w:rPr>
      </w:pPr>
    </w:p>
    <w:p w14:paraId="38B3CECD" w14:textId="77777777" w:rsidR="002D62A0" w:rsidRPr="006E052C" w:rsidRDefault="002D62A0" w:rsidP="002D62A0">
      <w:pPr>
        <w:spacing w:line="312" w:lineRule="auto"/>
        <w:jc w:val="center"/>
        <w:rPr>
          <w:szCs w:val="28"/>
        </w:rPr>
      </w:pPr>
    </w:p>
    <w:p w14:paraId="4E95BE59" w14:textId="77777777" w:rsidR="00153A13" w:rsidRPr="006E052C" w:rsidRDefault="00153A13" w:rsidP="00153A13">
      <w:pPr>
        <w:spacing w:line="312" w:lineRule="auto"/>
        <w:jc w:val="center"/>
        <w:rPr>
          <w:b/>
          <w:szCs w:val="28"/>
        </w:rPr>
      </w:pPr>
    </w:p>
    <w:p w14:paraId="4FA12EC8" w14:textId="77777777" w:rsidR="006E052C" w:rsidRPr="006E052C" w:rsidRDefault="006E052C" w:rsidP="00374B93">
      <w:pPr>
        <w:spacing w:line="312" w:lineRule="auto"/>
        <w:jc w:val="center"/>
        <w:rPr>
          <w:b/>
          <w:sz w:val="24"/>
          <w:szCs w:val="24"/>
        </w:rPr>
      </w:pPr>
    </w:p>
    <w:p w14:paraId="758C9AB3" w14:textId="77777777" w:rsidR="006E052C" w:rsidRPr="006E052C" w:rsidRDefault="006E052C" w:rsidP="00374B93">
      <w:pPr>
        <w:spacing w:line="312" w:lineRule="auto"/>
        <w:jc w:val="center"/>
        <w:rPr>
          <w:b/>
          <w:sz w:val="24"/>
          <w:szCs w:val="24"/>
        </w:rPr>
      </w:pPr>
    </w:p>
    <w:p w14:paraId="1B887813" w14:textId="77777777" w:rsidR="006E052C" w:rsidRPr="006E052C" w:rsidRDefault="006E052C" w:rsidP="00374B93">
      <w:pPr>
        <w:spacing w:line="312" w:lineRule="auto"/>
        <w:jc w:val="center"/>
        <w:rPr>
          <w:b/>
          <w:sz w:val="26"/>
          <w:szCs w:val="24"/>
        </w:rPr>
      </w:pPr>
    </w:p>
    <w:p w14:paraId="5D732281" w14:textId="77777777" w:rsidR="006E052C" w:rsidRPr="006E052C" w:rsidRDefault="006E052C" w:rsidP="00374B93">
      <w:pPr>
        <w:spacing w:line="312" w:lineRule="auto"/>
        <w:jc w:val="center"/>
        <w:rPr>
          <w:b/>
          <w:sz w:val="26"/>
          <w:szCs w:val="24"/>
        </w:rPr>
      </w:pPr>
    </w:p>
    <w:p w14:paraId="385EBAD9" w14:textId="3116665E" w:rsidR="00374B93" w:rsidRPr="006E052C" w:rsidRDefault="002D62A0" w:rsidP="00374B93">
      <w:pPr>
        <w:spacing w:line="312" w:lineRule="auto"/>
        <w:jc w:val="center"/>
        <w:rPr>
          <w:b/>
          <w:sz w:val="26"/>
          <w:szCs w:val="24"/>
        </w:rPr>
      </w:pPr>
      <w:r w:rsidRPr="006E052C">
        <w:rPr>
          <w:b/>
          <w:sz w:val="26"/>
          <w:szCs w:val="24"/>
        </w:rPr>
        <w:t>Hà Nội, Nă</w:t>
      </w:r>
      <w:r w:rsidR="00153A13" w:rsidRPr="006E052C">
        <w:rPr>
          <w:b/>
          <w:sz w:val="26"/>
          <w:szCs w:val="24"/>
        </w:rPr>
        <w:t>m 202</w:t>
      </w:r>
      <w:r w:rsidR="00155CCE" w:rsidRPr="006E052C">
        <w:rPr>
          <w:b/>
          <w:sz w:val="26"/>
          <w:szCs w:val="24"/>
        </w:rPr>
        <w:t>5</w:t>
      </w:r>
    </w:p>
    <w:p w14:paraId="7DA88579" w14:textId="7B9662C4" w:rsidR="00E7052E" w:rsidRPr="006E052C" w:rsidRDefault="00374B93" w:rsidP="006E052C">
      <w:pPr>
        <w:spacing w:before="240" w:after="240" w:line="288" w:lineRule="auto"/>
        <w:ind w:firstLine="0"/>
        <w:jc w:val="center"/>
        <w:rPr>
          <w:b/>
          <w:szCs w:val="28"/>
        </w:rPr>
      </w:pPr>
      <w:r w:rsidRPr="006E052C">
        <w:rPr>
          <w:b/>
          <w:szCs w:val="28"/>
        </w:rPr>
        <w:br w:type="page"/>
      </w:r>
      <w:r w:rsidR="00E7052E" w:rsidRPr="006E052C">
        <w:rPr>
          <w:b/>
        </w:rPr>
        <w:lastRenderedPageBreak/>
        <w:t>Công trình được hoàn thành tại</w:t>
      </w:r>
      <w:r w:rsidR="00E7052E" w:rsidRPr="006E052C">
        <w:t xml:space="preserve"> </w:t>
      </w:r>
      <w:r w:rsidR="00E7052E" w:rsidRPr="006E052C">
        <w:rPr>
          <w:b/>
        </w:rPr>
        <w:t>Trường Đại học Thương mại</w:t>
      </w:r>
    </w:p>
    <w:p w14:paraId="451563B9" w14:textId="5357E46D" w:rsidR="00E7052E" w:rsidRPr="006E052C" w:rsidRDefault="006E052C" w:rsidP="00E7052E">
      <w:pPr>
        <w:spacing w:line="312" w:lineRule="auto"/>
        <w:rPr>
          <w:sz w:val="24"/>
          <w:szCs w:val="24"/>
        </w:rPr>
      </w:pPr>
      <w:r w:rsidRPr="006E052C">
        <w:rPr>
          <w:noProof/>
          <w:sz w:val="32"/>
          <w:szCs w:val="24"/>
        </w:rPr>
        <mc:AlternateContent>
          <mc:Choice Requires="wps">
            <w:drawing>
              <wp:anchor distT="0" distB="0" distL="114300" distR="114300" simplePos="0" relativeHeight="251663360" behindDoc="1" locked="0" layoutInCell="1" allowOverlap="1" wp14:anchorId="1DCAA086" wp14:editId="6CE26D57">
                <wp:simplePos x="0" y="0"/>
                <wp:positionH relativeFrom="column">
                  <wp:posOffset>-57785</wp:posOffset>
                </wp:positionH>
                <wp:positionV relativeFrom="paragraph">
                  <wp:posOffset>-546100</wp:posOffset>
                </wp:positionV>
                <wp:extent cx="4219575" cy="6362700"/>
                <wp:effectExtent l="19050" t="1905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63627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20872" id="Rectangle 4" o:spid="_x0000_s1026" style="position:absolute;margin-left:-4.55pt;margin-top:-43pt;width:332.25pt;height:5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" strokeweight="3pt">
                <v:stroke linestyle="thinThin"/>
              </v:rect>
            </w:pict>
          </mc:Fallback>
        </mc:AlternateContent>
      </w:r>
      <w:r w:rsidR="00E7052E" w:rsidRPr="006E052C">
        <w:rPr>
          <w:sz w:val="24"/>
          <w:szCs w:val="24"/>
        </w:rPr>
        <w:tab/>
      </w:r>
    </w:p>
    <w:p w14:paraId="609F9848" w14:textId="77777777" w:rsidR="00E7052E" w:rsidRPr="006E052C" w:rsidRDefault="00E7052E" w:rsidP="00E7052E">
      <w:pPr>
        <w:spacing w:line="312" w:lineRule="auto"/>
        <w:rPr>
          <w:sz w:val="24"/>
          <w:szCs w:val="24"/>
        </w:rPr>
      </w:pPr>
    </w:p>
    <w:p w14:paraId="65A1E775" w14:textId="77777777" w:rsidR="00E7052E" w:rsidRPr="006E052C" w:rsidRDefault="00E7052E" w:rsidP="00E7052E">
      <w:pPr>
        <w:spacing w:line="312" w:lineRule="auto"/>
        <w:rPr>
          <w:b/>
          <w:bCs/>
          <w:sz w:val="24"/>
          <w:szCs w:val="24"/>
        </w:rPr>
      </w:pPr>
      <w:r w:rsidRPr="006E052C">
        <w:rPr>
          <w:b/>
          <w:bCs/>
          <w:sz w:val="24"/>
          <w:szCs w:val="24"/>
        </w:rPr>
        <w:tab/>
        <w:t xml:space="preserve">Người hướng dẫn khoa học:           </w:t>
      </w:r>
    </w:p>
    <w:p w14:paraId="0F396386" w14:textId="77777777" w:rsidR="00E7052E" w:rsidRPr="006E052C" w:rsidRDefault="00E7052E" w:rsidP="00E7052E">
      <w:pPr>
        <w:spacing w:line="312" w:lineRule="auto"/>
        <w:ind w:firstLine="1418"/>
        <w:rPr>
          <w:b/>
          <w:bCs/>
          <w:sz w:val="24"/>
          <w:szCs w:val="24"/>
        </w:rPr>
      </w:pPr>
      <w:r w:rsidRPr="006E052C">
        <w:rPr>
          <w:b/>
          <w:bCs/>
          <w:sz w:val="24"/>
          <w:szCs w:val="24"/>
        </w:rPr>
        <w:t>PGS, TS. Bùi Hữu Đức</w:t>
      </w:r>
    </w:p>
    <w:p w14:paraId="27ABD45D" w14:textId="77777777" w:rsidR="00E7052E" w:rsidRPr="006E052C" w:rsidRDefault="00E7052E" w:rsidP="00E7052E">
      <w:pPr>
        <w:spacing w:line="312" w:lineRule="auto"/>
        <w:ind w:firstLine="1418"/>
        <w:rPr>
          <w:b/>
          <w:bCs/>
          <w:sz w:val="24"/>
          <w:szCs w:val="24"/>
        </w:rPr>
      </w:pPr>
      <w:r w:rsidRPr="006E052C">
        <w:rPr>
          <w:b/>
          <w:bCs/>
          <w:sz w:val="24"/>
          <w:szCs w:val="24"/>
        </w:rPr>
        <w:t>PGS, TS. Đỗ Thị Bình</w:t>
      </w:r>
    </w:p>
    <w:p w14:paraId="05FEAE9C" w14:textId="77777777" w:rsidR="00E7052E" w:rsidRPr="006E052C" w:rsidRDefault="00E7052E" w:rsidP="00E7052E">
      <w:pPr>
        <w:spacing w:line="312" w:lineRule="auto"/>
        <w:rPr>
          <w:b/>
          <w:bCs/>
          <w:sz w:val="24"/>
          <w:szCs w:val="24"/>
        </w:rPr>
      </w:pPr>
    </w:p>
    <w:p w14:paraId="4BBA167E" w14:textId="77777777" w:rsidR="0063232A" w:rsidRDefault="0063232A" w:rsidP="0063232A">
      <w:pPr>
        <w:spacing w:before="240" w:after="240" w:line="360" w:lineRule="auto"/>
        <w:ind w:firstLine="397"/>
        <w:rPr>
          <w:b/>
          <w:bCs/>
          <w:sz w:val="24"/>
          <w:szCs w:val="24"/>
        </w:rPr>
      </w:pPr>
      <w:r w:rsidRPr="00153A13">
        <w:rPr>
          <w:b/>
          <w:bCs/>
          <w:sz w:val="24"/>
          <w:szCs w:val="24"/>
        </w:rPr>
        <w:t xml:space="preserve">Phản biện 1: </w:t>
      </w:r>
      <w:bookmarkStart w:id="0" w:name="_Hlk223507898"/>
      <w:r>
        <w:rPr>
          <w:b/>
          <w:bCs/>
          <w:sz w:val="24"/>
          <w:szCs w:val="24"/>
        </w:rPr>
        <w:t>TS. Lương Minh Huân</w:t>
      </w:r>
      <w:bookmarkEnd w:id="0"/>
    </w:p>
    <w:p w14:paraId="3CFDC261" w14:textId="77777777" w:rsidR="0063232A" w:rsidRDefault="0063232A" w:rsidP="0063232A">
      <w:pPr>
        <w:spacing w:before="240" w:after="240" w:line="360" w:lineRule="auto"/>
        <w:ind w:firstLine="397"/>
        <w:rPr>
          <w:b/>
          <w:bCs/>
          <w:sz w:val="24"/>
          <w:szCs w:val="24"/>
        </w:rPr>
      </w:pPr>
      <w:r w:rsidRPr="00153A13">
        <w:rPr>
          <w:b/>
          <w:bCs/>
          <w:sz w:val="24"/>
          <w:szCs w:val="24"/>
        </w:rPr>
        <w:t>Phản biện 2:</w:t>
      </w:r>
      <w:r>
        <w:rPr>
          <w:b/>
          <w:bCs/>
          <w:sz w:val="24"/>
          <w:szCs w:val="24"/>
        </w:rPr>
        <w:t xml:space="preserve"> </w:t>
      </w:r>
      <w:bookmarkStart w:id="1" w:name="_Hlk223507907"/>
      <w:r>
        <w:rPr>
          <w:b/>
          <w:bCs/>
          <w:sz w:val="24"/>
          <w:szCs w:val="24"/>
        </w:rPr>
        <w:t>PGS,TS. Trần Kiều Trang</w:t>
      </w:r>
      <w:bookmarkEnd w:id="1"/>
    </w:p>
    <w:p w14:paraId="6E16DE93" w14:textId="77777777" w:rsidR="0063232A" w:rsidRDefault="0063232A" w:rsidP="0063232A">
      <w:pPr>
        <w:spacing w:before="240" w:after="240" w:line="360" w:lineRule="auto"/>
        <w:ind w:firstLine="397"/>
        <w:rPr>
          <w:b/>
          <w:bCs/>
          <w:sz w:val="24"/>
          <w:szCs w:val="24"/>
        </w:rPr>
      </w:pPr>
      <w:r w:rsidRPr="00153A13">
        <w:rPr>
          <w:b/>
          <w:bCs/>
          <w:sz w:val="24"/>
          <w:szCs w:val="24"/>
        </w:rPr>
        <w:t>Phản biện 3:</w:t>
      </w:r>
      <w:r>
        <w:rPr>
          <w:b/>
          <w:bCs/>
          <w:sz w:val="24"/>
          <w:szCs w:val="24"/>
        </w:rPr>
        <w:t xml:space="preserve"> </w:t>
      </w:r>
      <w:bookmarkStart w:id="2" w:name="_Hlk223507914"/>
      <w:r>
        <w:rPr>
          <w:b/>
          <w:bCs/>
          <w:sz w:val="24"/>
          <w:szCs w:val="24"/>
        </w:rPr>
        <w:t>GS,TS. Nguyễn Bách Khoa</w:t>
      </w:r>
      <w:bookmarkEnd w:id="2"/>
    </w:p>
    <w:p w14:paraId="55F9438F" w14:textId="77777777" w:rsidR="00E7052E" w:rsidRPr="006E052C" w:rsidRDefault="00E7052E" w:rsidP="00E7052E">
      <w:pPr>
        <w:spacing w:line="312" w:lineRule="auto"/>
        <w:rPr>
          <w:b/>
          <w:bCs/>
          <w:sz w:val="24"/>
          <w:szCs w:val="24"/>
        </w:rPr>
      </w:pPr>
    </w:p>
    <w:p w14:paraId="56A19EDD" w14:textId="77777777" w:rsidR="00E7052E" w:rsidRPr="006E052C" w:rsidRDefault="00E7052E" w:rsidP="006E052C">
      <w:pPr>
        <w:spacing w:before="240" w:after="240" w:line="288" w:lineRule="auto"/>
        <w:ind w:firstLine="0"/>
        <w:jc w:val="center"/>
        <w:rPr>
          <w:b/>
          <w:bCs/>
          <w:sz w:val="24"/>
          <w:szCs w:val="24"/>
        </w:rPr>
      </w:pPr>
      <w:r w:rsidRPr="006E052C">
        <w:rPr>
          <w:b/>
          <w:bCs/>
          <w:sz w:val="24"/>
          <w:szCs w:val="24"/>
        </w:rPr>
        <w:t>Luận án sẽ được bảo vệ trước Hội đồng đánh giá luận án cấp Trường họp tại Trường Đại học Thương mại</w:t>
      </w:r>
    </w:p>
    <w:p w14:paraId="11585CEE" w14:textId="6B505479" w:rsidR="00E7052E" w:rsidRPr="006E052C" w:rsidRDefault="00E7052E" w:rsidP="006E052C">
      <w:pPr>
        <w:spacing w:before="240" w:after="240" w:line="288" w:lineRule="auto"/>
        <w:ind w:firstLine="0"/>
        <w:rPr>
          <w:b/>
          <w:bCs/>
          <w:sz w:val="24"/>
          <w:szCs w:val="24"/>
        </w:rPr>
      </w:pPr>
      <w:r w:rsidRPr="006E052C">
        <w:rPr>
          <w:b/>
          <w:bCs/>
          <w:sz w:val="24"/>
          <w:szCs w:val="24"/>
        </w:rPr>
        <w:t>Vào hồi……. giờ</w:t>
      </w:r>
      <w:r w:rsidR="006E052C" w:rsidRPr="006E052C">
        <w:rPr>
          <w:b/>
          <w:bCs/>
          <w:sz w:val="24"/>
          <w:szCs w:val="24"/>
        </w:rPr>
        <w:t xml:space="preserve"> … ngày……. tháng </w:t>
      </w:r>
      <w:r w:rsidRPr="006E052C">
        <w:rPr>
          <w:b/>
          <w:bCs/>
          <w:sz w:val="24"/>
          <w:szCs w:val="24"/>
        </w:rPr>
        <w:t>…. năm ………….</w:t>
      </w:r>
    </w:p>
    <w:p w14:paraId="05F1C55F" w14:textId="77777777" w:rsidR="00E7052E" w:rsidRPr="006E052C" w:rsidRDefault="00E7052E" w:rsidP="00E7052E">
      <w:pPr>
        <w:spacing w:before="240" w:after="240" w:line="259" w:lineRule="auto"/>
        <w:rPr>
          <w:b/>
          <w:bCs/>
          <w:sz w:val="24"/>
          <w:szCs w:val="24"/>
        </w:rPr>
      </w:pPr>
    </w:p>
    <w:p w14:paraId="272D75C0" w14:textId="77777777" w:rsidR="00E7052E" w:rsidRPr="006E052C" w:rsidRDefault="00E7052E" w:rsidP="00E7052E">
      <w:pPr>
        <w:spacing w:line="240" w:lineRule="auto"/>
        <w:rPr>
          <w:b/>
          <w:bCs/>
          <w:sz w:val="24"/>
          <w:szCs w:val="24"/>
        </w:rPr>
      </w:pPr>
    </w:p>
    <w:p w14:paraId="160B0EFC" w14:textId="77777777" w:rsidR="00E7052E" w:rsidRPr="006E052C" w:rsidRDefault="00E7052E" w:rsidP="00E7052E">
      <w:pPr>
        <w:spacing w:line="240" w:lineRule="auto"/>
        <w:rPr>
          <w:b/>
          <w:bCs/>
          <w:sz w:val="24"/>
          <w:szCs w:val="24"/>
        </w:rPr>
      </w:pPr>
      <w:r w:rsidRPr="006E052C">
        <w:rPr>
          <w:b/>
          <w:bCs/>
          <w:sz w:val="24"/>
          <w:szCs w:val="24"/>
        </w:rPr>
        <w:t xml:space="preserve">Có thể tìm hiểu luận án tại: </w:t>
      </w:r>
    </w:p>
    <w:p w14:paraId="414A90EB" w14:textId="77777777" w:rsidR="00E7052E" w:rsidRPr="006E052C" w:rsidRDefault="00E7052E" w:rsidP="00E7052E">
      <w:pPr>
        <w:spacing w:line="240" w:lineRule="auto"/>
        <w:ind w:firstLine="1418"/>
        <w:rPr>
          <w:b/>
          <w:bCs/>
          <w:sz w:val="24"/>
          <w:szCs w:val="24"/>
        </w:rPr>
      </w:pPr>
      <w:r w:rsidRPr="006E052C">
        <w:rPr>
          <w:b/>
          <w:bCs/>
          <w:sz w:val="24"/>
          <w:szCs w:val="24"/>
        </w:rPr>
        <w:t>Thư viện Quốc gia,</w:t>
      </w:r>
    </w:p>
    <w:p w14:paraId="64A66A20" w14:textId="77777777" w:rsidR="00E7052E" w:rsidRPr="006E052C" w:rsidRDefault="00E7052E" w:rsidP="00E7052E">
      <w:pPr>
        <w:spacing w:line="240" w:lineRule="auto"/>
        <w:ind w:firstLine="1418"/>
        <w:rPr>
          <w:b/>
          <w:bCs/>
          <w:sz w:val="24"/>
          <w:szCs w:val="24"/>
        </w:rPr>
      </w:pPr>
      <w:r w:rsidRPr="006E052C">
        <w:rPr>
          <w:b/>
          <w:bCs/>
          <w:sz w:val="24"/>
          <w:szCs w:val="24"/>
        </w:rPr>
        <w:t>Thư viện Trường Đại học Thương mại</w:t>
      </w:r>
    </w:p>
    <w:p w14:paraId="7073BEEE" w14:textId="5F4236E6" w:rsidR="002D62A0" w:rsidRPr="006E052C" w:rsidRDefault="002D62A0" w:rsidP="00E7052E">
      <w:pPr>
        <w:spacing w:before="240" w:after="240" w:line="288" w:lineRule="auto"/>
        <w:ind w:firstLine="170"/>
        <w:rPr>
          <w:b/>
          <w:sz w:val="24"/>
          <w:szCs w:val="20"/>
        </w:rPr>
      </w:pPr>
    </w:p>
    <w:p w14:paraId="16EF2F17" w14:textId="77777777" w:rsidR="00015B04" w:rsidRPr="006E052C" w:rsidRDefault="00015B04" w:rsidP="00E11606">
      <w:pPr>
        <w:pStyle w:val="Heading1"/>
        <w:rPr>
          <w:lang w:val="en-US"/>
        </w:rPr>
        <w:sectPr w:rsidR="00015B04" w:rsidRPr="006E052C" w:rsidSect="006E052C">
          <w:headerReference w:type="even" r:id="rId8"/>
          <w:footerReference w:type="even" r:id="rId9"/>
          <w:footerReference w:type="default" r:id="rId10"/>
          <w:headerReference w:type="first" r:id="rId11"/>
          <w:pgSz w:w="8392" w:h="11907" w:code="11"/>
          <w:pgMar w:top="1021" w:right="1021" w:bottom="1021" w:left="1021" w:header="510" w:footer="0" w:gutter="0"/>
          <w:pgNumType w:start="1"/>
          <w:cols w:space="720"/>
          <w:titlePg/>
          <w:docGrid w:linePitch="360"/>
        </w:sectPr>
      </w:pPr>
    </w:p>
    <w:p w14:paraId="006CD775" w14:textId="4E33090E" w:rsidR="00BE28F3" w:rsidRPr="006E052C" w:rsidRDefault="00015B04" w:rsidP="006E052C">
      <w:pPr>
        <w:pStyle w:val="Heading1"/>
        <w:spacing w:line="312" w:lineRule="auto"/>
        <w:rPr>
          <w:lang w:val="en-US"/>
        </w:rPr>
      </w:pPr>
      <w:r w:rsidRPr="006E052C">
        <w:rPr>
          <w:lang w:val="en-US"/>
        </w:rPr>
        <w:lastRenderedPageBreak/>
        <w:t>MỞ ĐẦU</w:t>
      </w:r>
    </w:p>
    <w:p w14:paraId="6A924AEA" w14:textId="394A34C7" w:rsidR="00BE28F3" w:rsidRPr="006E052C" w:rsidRDefault="00155CCE" w:rsidP="006E052C">
      <w:pPr>
        <w:pStyle w:val="Heading2"/>
        <w:spacing w:line="312" w:lineRule="auto"/>
      </w:pPr>
      <w:r w:rsidRPr="006E052C">
        <w:rPr>
          <w:lang w:val="en-US"/>
        </w:rPr>
        <w:t xml:space="preserve">1. </w:t>
      </w:r>
      <w:r w:rsidRPr="006E052C">
        <w:t>Tính cấp thiết của đề tài luận án</w:t>
      </w:r>
    </w:p>
    <w:p w14:paraId="1F502114" w14:textId="77777777" w:rsidR="00155CCE" w:rsidRPr="006E052C" w:rsidRDefault="00155CCE" w:rsidP="006E052C">
      <w:pPr>
        <w:spacing w:line="312" w:lineRule="auto"/>
        <w:rPr>
          <w:lang w:val="vi"/>
        </w:rPr>
      </w:pPr>
      <w:r w:rsidRPr="006E052C">
        <w:rPr>
          <w:lang w:val="vi"/>
        </w:rPr>
        <w:t>Các doanh nghiệp toàn cầu đang chuyển mạnh sang mô hình kinh tế xanh, khiến hành vi đầu tư xanh, đặc biệt của doanh nghiệp FDI, ngày càng được quan tâm nghiên cứu. Tại Việt Nam, khu vực FDI đã đóng góp tích cực cho tăng trưởng kinh tế, gia tăng xuất khẩu, thu ngân sách, nâng cao năng suất lao động và tạo cơ hội tiếp cận công nghệ tiên tiến, qua đó góp phần thực hiện mục tiêu phát triển bền vững.</w:t>
      </w:r>
    </w:p>
    <w:p w14:paraId="6011C851" w14:textId="77777777" w:rsidR="00155CCE" w:rsidRPr="006E052C" w:rsidRDefault="00155CCE" w:rsidP="006E052C">
      <w:pPr>
        <w:spacing w:line="312" w:lineRule="auto"/>
        <w:rPr>
          <w:lang w:val="vi"/>
        </w:rPr>
      </w:pPr>
      <w:r w:rsidRPr="006E052C">
        <w:rPr>
          <w:lang w:val="vi"/>
        </w:rPr>
        <w:t>Tuy nhiên, FDI cũng gây ra không ít tác động tiêu cực đến môi trường và tăng trưởng bền vững khi nhiều dự án chưa chú trọng yếu tố bền vững. Việc triển khai các tiêu chuẩn ESG tại doanh nghiệp FDI còn thiếu đồng đều, trong khi nhận thức về lợi ích dài hạn của đầu tư xanh vẫn chưa đầy đủ. Trong bối cảnh Việt Nam ban hành các chính sách quan trọng như kinh tế tuần hoàn và mục tiêu phát thải ròng bằng 0 vào năm 2050, yêu cầu thu hút và định hướng dòng vốn FDI “xanh” ngày càng trở nên cấp thiết.</w:t>
      </w:r>
    </w:p>
    <w:p w14:paraId="253EB347" w14:textId="77777777" w:rsidR="00155CCE" w:rsidRPr="006E052C" w:rsidRDefault="00155CCE" w:rsidP="006E052C">
      <w:pPr>
        <w:spacing w:line="312" w:lineRule="auto"/>
        <w:rPr>
          <w:lang w:val="vi"/>
        </w:rPr>
      </w:pPr>
      <w:r w:rsidRPr="006E052C">
        <w:rPr>
          <w:lang w:val="vi"/>
        </w:rPr>
        <w:t>Hành vi đầu tư của doanh nghiệp là tập hợp các quyết định có chủ đích nhằm đạt mục tiêu lợi nhuận và chiến lược phát triển. Ở Việt Nam, hành vi đầu tư của doanh nghiệp FDI chủ yếu chịu tác động bởi môi trường đầu tư, cơ sở hạ tầng, nguồn nhân lực và chất lượng dịch vụ công. Những yếu tố này ảnh hưởng trực tiếp đến quyết định đầu tư, sản xuất kinh doanh cũng như việc thực hiện trách nhiệm xã hội và môi trường của doanh nghiệp.</w:t>
      </w:r>
    </w:p>
    <w:p w14:paraId="71707B30" w14:textId="77777777" w:rsidR="00155CCE" w:rsidRPr="006E052C" w:rsidRDefault="00155CCE" w:rsidP="006E052C">
      <w:pPr>
        <w:spacing w:line="312" w:lineRule="auto"/>
        <w:rPr>
          <w:lang w:val="vi"/>
        </w:rPr>
      </w:pPr>
      <w:r w:rsidRPr="006E052C">
        <w:rPr>
          <w:lang w:val="vi"/>
        </w:rPr>
        <w:t>Trên thế giới và tại Việt Nam đã có nhiều nghiên cứu về lựa chọn loại hình, địa điểm đầu tư và tác động của FDI đến phát triển bền vững. Tuy nhiên, các nghiên cứu kết hợp một cách toàn diện về hành vi đầu tư xanh của doanh nghiệp FDI trong suốt quá trình hoạt động, đặc biệt tại các nước đang phát triển như Việt Nam, vẫn còn hạn chế. Do đó, nghiên cứu sâu về chủ đề này có ý nghĩa bổ sung cơ sở lý luận và bằng chứng thực nghiệm cho lĩnh vực đầu tư xanh và phát triển bền vững.</w:t>
      </w:r>
    </w:p>
    <w:p w14:paraId="0332DCD3" w14:textId="77777777" w:rsidR="00155CCE" w:rsidRPr="006E052C" w:rsidRDefault="00155CCE" w:rsidP="006E052C">
      <w:pPr>
        <w:spacing w:line="312" w:lineRule="auto"/>
        <w:rPr>
          <w:lang w:val="vi"/>
        </w:rPr>
      </w:pPr>
      <w:r w:rsidRPr="006E052C">
        <w:rPr>
          <w:lang w:val="vi"/>
        </w:rPr>
        <w:t xml:space="preserve">Thực tế cho thấy, nhiều doanh nghiệp FDI tại Việt Nam gặp khó khăn trong chuyển đổi sang mô hình sản xuất kinh doanh xanh; các hành vi đầu tư xanh còn manh mún, thiếu chiến lược dài hạn. Trong khi đó, các tiêu </w:t>
      </w:r>
      <w:r w:rsidRPr="006E052C">
        <w:rPr>
          <w:lang w:val="vi"/>
        </w:rPr>
        <w:lastRenderedPageBreak/>
        <w:t>chuẩn môi trường quốc tế ngày càng khắt khe, buộc doanh nghiệp phải đẩy mạnh đầu tư xanh để duy trì năng lực cạnh tranh.</w:t>
      </w:r>
    </w:p>
    <w:p w14:paraId="54A3DB77" w14:textId="3F9CB27E" w:rsidR="00155CCE" w:rsidRPr="006E052C" w:rsidRDefault="00155CCE" w:rsidP="006E052C">
      <w:pPr>
        <w:spacing w:line="312" w:lineRule="auto"/>
        <w:rPr>
          <w:lang w:val="vi"/>
        </w:rPr>
      </w:pPr>
      <w:r w:rsidRPr="006E052C">
        <w:rPr>
          <w:lang w:val="vi"/>
        </w:rPr>
        <w:t>Hà Nội là địa bàn nghiên cứu phù hợp do vị thế trung tâm kinh tế – chính trị và dẫn đầu cả nước về thu hút FDI trong nửa đầu năm 2025. Với hệ thống khu công nghiệp đa dạng và vai trò tiên phong trong triển khai chiến lược tăng trưởng xanh, Hà Nội cho phép phản ánh tương đối đầy đủ hành vi đầu tư xanh của doanh nghiệp FDI. Trên cơ sở đó, chủ đề nghiên cứu được lựa chọn về “</w:t>
      </w:r>
      <w:r w:rsidRPr="006E052C">
        <w:rPr>
          <w:i/>
          <w:iCs/>
          <w:lang w:val="vi"/>
        </w:rPr>
        <w:t>Hành vi đầu tư xanh của các doanh nghiệp FDI trên địa bàn Hà Nội</w:t>
      </w:r>
      <w:r w:rsidRPr="006E052C">
        <w:rPr>
          <w:lang w:val="vi"/>
        </w:rPr>
        <w:t>”.</w:t>
      </w:r>
    </w:p>
    <w:p w14:paraId="0950E1AF" w14:textId="1D7E56AC" w:rsidR="00BE28F3" w:rsidRPr="006E052C" w:rsidRDefault="00155CCE" w:rsidP="006E052C">
      <w:pPr>
        <w:pStyle w:val="Heading2"/>
        <w:spacing w:line="312" w:lineRule="auto"/>
      </w:pPr>
      <w:r w:rsidRPr="006E052C">
        <w:t xml:space="preserve">2. </w:t>
      </w:r>
      <w:r w:rsidR="004E6E12" w:rsidRPr="006E052C">
        <w:t>Mục tiêu, câu hỏi và nhiệm vụ nghiên cứu</w:t>
      </w:r>
    </w:p>
    <w:p w14:paraId="68F473B3" w14:textId="77777777" w:rsidR="004E6E12" w:rsidRPr="006E052C" w:rsidRDefault="004E6E12" w:rsidP="006E052C">
      <w:pPr>
        <w:spacing w:line="312" w:lineRule="auto"/>
        <w:rPr>
          <w:lang w:val="vi"/>
        </w:rPr>
      </w:pPr>
      <w:r w:rsidRPr="006E052C">
        <w:rPr>
          <w:b/>
          <w:bCs/>
          <w:lang w:val="vi"/>
        </w:rPr>
        <w:t>Mục tiêu</w:t>
      </w:r>
      <w:r w:rsidRPr="006E052C">
        <w:rPr>
          <w:lang w:val="vi"/>
        </w:rPr>
        <w:t xml:space="preserve"> nghiên cứu: nghiên cứu được thực trạng đầu tư xanh, và ảnh hưởng của đầu tư xanh tới kết quả hoạt động của DN FDI, đặc biệt nghiên cứu vai trò của chính phủ như là biến điều tiết của hành vi đầu tư xanh, từ đó và đề xuất các giải pháp thúc đẩy hành vi đầu tư xanh của các doanh nghiệp FDI trên địa bàn Hà Nội </w:t>
      </w:r>
    </w:p>
    <w:p w14:paraId="05079883" w14:textId="77777777" w:rsidR="004E6E12" w:rsidRPr="006E052C" w:rsidRDefault="004E6E12" w:rsidP="006E052C">
      <w:pPr>
        <w:spacing w:line="312" w:lineRule="auto"/>
        <w:rPr>
          <w:lang w:val="vi"/>
        </w:rPr>
      </w:pPr>
      <w:r w:rsidRPr="006E052C">
        <w:rPr>
          <w:b/>
          <w:bCs/>
          <w:lang w:val="vi"/>
        </w:rPr>
        <w:t>Các câu hỏi nghiên cứu</w:t>
      </w:r>
      <w:r w:rsidRPr="006E052C">
        <w:rPr>
          <w:lang w:val="vi"/>
        </w:rPr>
        <w:t xml:space="preserve"> của luận án gồm:</w:t>
      </w:r>
    </w:p>
    <w:p w14:paraId="0F727E15" w14:textId="77777777" w:rsidR="004E6E12" w:rsidRPr="006E052C" w:rsidRDefault="004E6E12" w:rsidP="006E052C">
      <w:pPr>
        <w:spacing w:line="312" w:lineRule="auto"/>
        <w:rPr>
          <w:lang w:val="vi"/>
        </w:rPr>
      </w:pPr>
      <w:r w:rsidRPr="006E052C">
        <w:rPr>
          <w:lang w:val="vi"/>
        </w:rPr>
        <w:t>- Cơ sở lý luận về hành vi đầu tư xanh của doanh nghiệp FDI là gì?</w:t>
      </w:r>
    </w:p>
    <w:p w14:paraId="365BB0B7" w14:textId="77777777" w:rsidR="004E6E12" w:rsidRPr="006E052C" w:rsidRDefault="004E6E12" w:rsidP="006E052C">
      <w:pPr>
        <w:spacing w:line="312" w:lineRule="auto"/>
        <w:rPr>
          <w:lang w:val="vi"/>
        </w:rPr>
      </w:pPr>
      <w:r w:rsidRPr="006E052C">
        <w:rPr>
          <w:lang w:val="vi"/>
        </w:rPr>
        <w:t>- Thực trạng hành vi đầu tư xanh của doanh nghiệp FDI trên địa bàn thành phố Hà Nội như thế nào? Và tác động của hành vi này đến kết quả hoạt động của doanh nghiệp FDI trên địa bàn thành phố Hà Nội như thế nào?</w:t>
      </w:r>
    </w:p>
    <w:p w14:paraId="76972216" w14:textId="77777777" w:rsidR="004E6E12" w:rsidRPr="006E052C" w:rsidRDefault="004E6E12" w:rsidP="006E052C">
      <w:pPr>
        <w:spacing w:line="312" w:lineRule="auto"/>
        <w:rPr>
          <w:lang w:val="vi"/>
        </w:rPr>
      </w:pPr>
      <w:r w:rsidRPr="006E052C">
        <w:rPr>
          <w:lang w:val="vi"/>
        </w:rPr>
        <w:t>- Cần thực hiện các giải pháp nào nhằm thúc đẩy hành vi đầu tư xanh của nhà đầu tư nước ngoài?</w:t>
      </w:r>
    </w:p>
    <w:p w14:paraId="1F039C62" w14:textId="77777777" w:rsidR="004E6E12" w:rsidRPr="006E052C" w:rsidRDefault="004E6E12" w:rsidP="006E052C">
      <w:pPr>
        <w:spacing w:line="312" w:lineRule="auto"/>
        <w:rPr>
          <w:lang w:val="vi"/>
        </w:rPr>
      </w:pPr>
      <w:r w:rsidRPr="006E052C">
        <w:rPr>
          <w:b/>
          <w:bCs/>
          <w:lang w:val="vi"/>
        </w:rPr>
        <w:t>Các nhiệm vụ</w:t>
      </w:r>
      <w:r w:rsidRPr="006E052C">
        <w:rPr>
          <w:lang w:val="vi"/>
        </w:rPr>
        <w:t xml:space="preserve"> của luận án được xác định sau:</w:t>
      </w:r>
    </w:p>
    <w:p w14:paraId="68930EC7" w14:textId="77777777" w:rsidR="004E6E12" w:rsidRPr="006E052C" w:rsidRDefault="004E6E12" w:rsidP="006E052C">
      <w:pPr>
        <w:spacing w:line="312" w:lineRule="auto"/>
        <w:rPr>
          <w:lang w:val="vi"/>
        </w:rPr>
      </w:pPr>
      <w:r w:rsidRPr="006E052C">
        <w:rPr>
          <w:lang w:val="vi"/>
        </w:rPr>
        <w:t>- Hệ thống hóa và xây dựng cơ sở lý luận về hành vi đầu tư xanh của doanh nghiệp FDI.</w:t>
      </w:r>
    </w:p>
    <w:p w14:paraId="6CAAC474" w14:textId="7CF6A57F" w:rsidR="004E6E12" w:rsidRPr="006E052C" w:rsidRDefault="004E6E12" w:rsidP="006E052C">
      <w:pPr>
        <w:spacing w:line="312" w:lineRule="auto"/>
        <w:rPr>
          <w:lang w:val="vi"/>
        </w:rPr>
      </w:pPr>
      <w:r w:rsidRPr="006E052C">
        <w:rPr>
          <w:lang w:val="vi"/>
        </w:rPr>
        <w:t xml:space="preserve">- Phân tích thực trạng hành vi đầu tư của doanh nghiệp FDI trên địa bàn </w:t>
      </w:r>
      <w:r w:rsidR="007D3B3A" w:rsidRPr="006E052C">
        <w:rPr>
          <w:lang w:val="vi"/>
        </w:rPr>
        <w:t>TP. Hà Nội</w:t>
      </w:r>
      <w:r w:rsidRPr="006E052C">
        <w:rPr>
          <w:lang w:val="vi"/>
        </w:rPr>
        <w:t xml:space="preserve"> theo quan điểm tiếp cận hành vi đầu tư xanh.</w:t>
      </w:r>
    </w:p>
    <w:p w14:paraId="6E3F8003" w14:textId="03E198E9" w:rsidR="004E6E12" w:rsidRPr="006E052C" w:rsidRDefault="004E6E12" w:rsidP="006E052C">
      <w:pPr>
        <w:spacing w:line="312" w:lineRule="auto"/>
        <w:rPr>
          <w:lang w:val="vi"/>
        </w:rPr>
      </w:pPr>
      <w:r w:rsidRPr="006E052C">
        <w:rPr>
          <w:lang w:val="vi"/>
        </w:rPr>
        <w:t xml:space="preserve">- Phân tích thực trạng các yếu tố ảnh hưởng đến hành vi đầu tư xanh của doanh nghiệp FDI trên địa bàn </w:t>
      </w:r>
      <w:r w:rsidR="007D3B3A" w:rsidRPr="006E052C">
        <w:rPr>
          <w:lang w:val="vi"/>
        </w:rPr>
        <w:t>TP. Hà Nội</w:t>
      </w:r>
      <w:r w:rsidRPr="006E052C">
        <w:rPr>
          <w:lang w:val="vi"/>
        </w:rPr>
        <w:t>.</w:t>
      </w:r>
    </w:p>
    <w:p w14:paraId="151EE642" w14:textId="0E04D69E" w:rsidR="004E6E12" w:rsidRPr="006E052C" w:rsidRDefault="004E6E12" w:rsidP="006E052C">
      <w:pPr>
        <w:spacing w:line="312" w:lineRule="auto"/>
        <w:rPr>
          <w:lang w:val="vi"/>
        </w:rPr>
      </w:pPr>
      <w:r w:rsidRPr="006E052C">
        <w:rPr>
          <w:lang w:val="vi"/>
        </w:rPr>
        <w:lastRenderedPageBreak/>
        <w:t xml:space="preserve">- Làm rõ mối quan hệ định lượng giữa hành vi đầu tư xanh và kết quả hoạt động của doanh nghiệp FDI trên địa bàn </w:t>
      </w:r>
      <w:r w:rsidR="007D3B3A" w:rsidRPr="006E052C">
        <w:rPr>
          <w:lang w:val="vi"/>
        </w:rPr>
        <w:t>TP. Hà Nội</w:t>
      </w:r>
      <w:r w:rsidRPr="006E052C">
        <w:rPr>
          <w:lang w:val="vi"/>
        </w:rPr>
        <w:t>.</w:t>
      </w:r>
    </w:p>
    <w:p w14:paraId="29137AAD" w14:textId="1DA59B13" w:rsidR="004E6E12" w:rsidRPr="006E052C" w:rsidRDefault="004E6E12" w:rsidP="006E052C">
      <w:pPr>
        <w:spacing w:line="312" w:lineRule="auto"/>
        <w:rPr>
          <w:lang w:val="vi"/>
        </w:rPr>
      </w:pPr>
      <w:r w:rsidRPr="006E052C">
        <w:rPr>
          <w:lang w:val="vi"/>
        </w:rPr>
        <w:t xml:space="preserve">- Đề xuất các giải pháp và kiến nghị nhằm thúc đẩy hành vi đầu tư xanh của nhà đầu tư nước ngoài trên địa bàn </w:t>
      </w:r>
      <w:r w:rsidR="007D3B3A" w:rsidRPr="006E052C">
        <w:rPr>
          <w:lang w:val="vi"/>
        </w:rPr>
        <w:t>TP. Hà Nội</w:t>
      </w:r>
      <w:r w:rsidRPr="006E052C">
        <w:rPr>
          <w:lang w:val="vi"/>
        </w:rPr>
        <w:t xml:space="preserve"> nói riêng và tại Việt Nam nói chung.</w:t>
      </w:r>
    </w:p>
    <w:p w14:paraId="3953D33E" w14:textId="77777777" w:rsidR="004E6E12" w:rsidRPr="006E052C" w:rsidRDefault="00BE28F3" w:rsidP="006E052C">
      <w:pPr>
        <w:pStyle w:val="Heading2"/>
        <w:spacing w:line="312" w:lineRule="auto"/>
      </w:pPr>
      <w:r w:rsidRPr="006E052C">
        <w:t xml:space="preserve">3. </w:t>
      </w:r>
      <w:r w:rsidR="004E6E12" w:rsidRPr="006E052C">
        <w:t>Đối tượng và phạm vi nghiên cứu của luận án</w:t>
      </w:r>
    </w:p>
    <w:p w14:paraId="6FE71853" w14:textId="77777777" w:rsidR="004E6E12" w:rsidRPr="006E052C" w:rsidRDefault="004E6E12" w:rsidP="006E052C">
      <w:pPr>
        <w:spacing w:line="312" w:lineRule="auto"/>
        <w:rPr>
          <w:lang w:val="vi"/>
        </w:rPr>
      </w:pPr>
      <w:r w:rsidRPr="006E052C">
        <w:rPr>
          <w:b/>
          <w:bCs/>
          <w:i/>
          <w:iCs/>
          <w:lang w:val="vi"/>
        </w:rPr>
        <w:t>Đối tượng nghiên cứu</w:t>
      </w:r>
      <w:r w:rsidRPr="006E052C">
        <w:rPr>
          <w:lang w:val="vi"/>
        </w:rPr>
        <w:t>: hành vi đầu tư xanh và ảnh hưởng của hành vi đầu tư xanh đến kết quả hoạt động của doanh nghiệp FDI</w:t>
      </w:r>
    </w:p>
    <w:p w14:paraId="0F9D280F" w14:textId="77777777" w:rsidR="004E6E12" w:rsidRPr="006E052C" w:rsidRDefault="004E6E12" w:rsidP="006E052C">
      <w:pPr>
        <w:spacing w:line="312" w:lineRule="auto"/>
        <w:rPr>
          <w:b/>
          <w:bCs/>
          <w:i/>
          <w:iCs/>
          <w:lang w:val="vi"/>
        </w:rPr>
      </w:pPr>
      <w:r w:rsidRPr="006E052C">
        <w:rPr>
          <w:b/>
          <w:bCs/>
          <w:i/>
          <w:iCs/>
          <w:lang w:val="vi"/>
        </w:rPr>
        <w:t>Phạm vi nghiên cứu</w:t>
      </w:r>
    </w:p>
    <w:p w14:paraId="1B167D53" w14:textId="77777777" w:rsidR="004E6E12" w:rsidRPr="006E052C" w:rsidRDefault="004E6E12" w:rsidP="006E052C">
      <w:pPr>
        <w:spacing w:line="312" w:lineRule="auto"/>
        <w:rPr>
          <w:lang w:val="vi"/>
        </w:rPr>
      </w:pPr>
      <w:r w:rsidRPr="006E052C">
        <w:rPr>
          <w:i/>
          <w:iCs/>
          <w:lang w:val="vi"/>
        </w:rPr>
        <w:t>Phạm vi nội dung</w:t>
      </w:r>
      <w:r w:rsidRPr="006E052C">
        <w:rPr>
          <w:lang w:val="vi"/>
        </w:rPr>
        <w:t>: Nghiên cứu hành vi đầu tư xanh của các doanh nghiệp FDI trên địa bàn Hà Nội.</w:t>
      </w:r>
    </w:p>
    <w:p w14:paraId="48D2A3A1" w14:textId="6F327C12" w:rsidR="004E6E12" w:rsidRPr="006E052C" w:rsidRDefault="004E6E12" w:rsidP="006E052C">
      <w:pPr>
        <w:spacing w:line="312" w:lineRule="auto"/>
        <w:rPr>
          <w:lang w:val="vi"/>
        </w:rPr>
      </w:pPr>
      <w:r w:rsidRPr="006E052C">
        <w:rPr>
          <w:i/>
          <w:iCs/>
          <w:lang w:val="vi"/>
        </w:rPr>
        <w:t>Phạm vi không gian</w:t>
      </w:r>
      <w:r w:rsidRPr="006E052C">
        <w:rPr>
          <w:lang w:val="vi"/>
        </w:rPr>
        <w:t xml:space="preserve">: các doanh nghiệp FDI trên địa bàn </w:t>
      </w:r>
      <w:r w:rsidR="007D3B3A" w:rsidRPr="006E052C">
        <w:rPr>
          <w:lang w:val="vi"/>
        </w:rPr>
        <w:t>TP. Hà Nội</w:t>
      </w:r>
      <w:r w:rsidRPr="006E052C">
        <w:rPr>
          <w:lang w:val="vi"/>
        </w:rPr>
        <w:t>.</w:t>
      </w:r>
    </w:p>
    <w:p w14:paraId="295EF0FF" w14:textId="77777777" w:rsidR="004E6E12" w:rsidRPr="006E052C" w:rsidRDefault="004E6E12" w:rsidP="006E052C">
      <w:pPr>
        <w:spacing w:line="312" w:lineRule="auto"/>
        <w:rPr>
          <w:lang w:val="vi"/>
        </w:rPr>
      </w:pPr>
      <w:r w:rsidRPr="006E052C">
        <w:rPr>
          <w:i/>
          <w:iCs/>
          <w:lang w:val="vi"/>
        </w:rPr>
        <w:t>Phạm vi thời gian</w:t>
      </w:r>
      <w:r w:rsidRPr="006E052C">
        <w:rPr>
          <w:lang w:val="vi"/>
        </w:rPr>
        <w:t>: các dữ liệu thứ cấp được thu thập và tổng hợp từ 2020-2023, dữ liệu sơ cấp được thu thập và tổng hợp từ 2024-2025 và giải pháp được đề ra với tầm nhìn tới năm 2030</w:t>
      </w:r>
    </w:p>
    <w:p w14:paraId="22976213" w14:textId="14E388D4" w:rsidR="00BE28F3" w:rsidRPr="006E052C" w:rsidRDefault="00BE28F3" w:rsidP="006E052C">
      <w:pPr>
        <w:pStyle w:val="Heading2"/>
        <w:spacing w:line="312" w:lineRule="auto"/>
      </w:pPr>
      <w:r w:rsidRPr="006E052C">
        <w:t xml:space="preserve">4. </w:t>
      </w:r>
      <w:r w:rsidR="004E6E12" w:rsidRPr="006E052C">
        <w:t>Phương pháp nghiên cứu</w:t>
      </w:r>
    </w:p>
    <w:p w14:paraId="1530B4DF" w14:textId="77777777" w:rsidR="006029CB" w:rsidRPr="006E052C" w:rsidRDefault="006029CB" w:rsidP="006E052C">
      <w:pPr>
        <w:spacing w:line="312" w:lineRule="auto"/>
        <w:rPr>
          <w:lang w:val="vi"/>
        </w:rPr>
      </w:pPr>
      <w:r w:rsidRPr="006E052C">
        <w:rPr>
          <w:lang w:val="vi"/>
        </w:rPr>
        <w:t>Nghiên cứu áp dụng quy trình tiếp cận hai giai đoạn nhằm bảo đảm cơ sở lý luận vững chắc và kiểm định chặt chẽ mô hình nghiên cứu. Giai đoạn 1 sử dụng tổng quan tài liệu và nghiên cứu định tính để làm rõ khái niệm, nội hàm và các yếu tố ảnh hưởng đến hành vi đầu tư xanh của doanh nghiệp FDI, đồng thời hiệu chỉnh thang đo và hoàn thiện mô hình phù hợp với bối cảnh Hà Nội. Giai đoạn 2 triển khai nghiên cứu định lượng thông qua khảo sát các nhà quản lý và nhà đầu tư FDI, sử dụng các kỹ thuật thống kê, phân tích nhân tố và hồi quy để kiểm định mô hình và giả thuyết. Cách tiếp cận kết hợp định tính – định lượng giúp nâng cao độ tin cậy của kết quả và giá trị ứng dụng trong quản trị và hoạch định chính sách.</w:t>
      </w:r>
    </w:p>
    <w:p w14:paraId="249A257B" w14:textId="42646FEC" w:rsidR="00BE28F3" w:rsidRPr="006E052C" w:rsidRDefault="00BE28F3" w:rsidP="006E052C">
      <w:pPr>
        <w:pStyle w:val="Heading2"/>
        <w:spacing w:line="312" w:lineRule="auto"/>
      </w:pPr>
      <w:r w:rsidRPr="006E052C">
        <w:t xml:space="preserve">5. </w:t>
      </w:r>
      <w:r w:rsidR="004E6E12" w:rsidRPr="006E052C">
        <w:t>Những đóng góp về khoa học và thực tiễn của luận án</w:t>
      </w:r>
    </w:p>
    <w:p w14:paraId="2FB9A18E" w14:textId="626772BD" w:rsidR="006029CB" w:rsidRPr="006E052C" w:rsidRDefault="006029CB" w:rsidP="006E052C">
      <w:pPr>
        <w:spacing w:line="312" w:lineRule="auto"/>
        <w:rPr>
          <w:lang w:val="vi"/>
        </w:rPr>
      </w:pPr>
      <w:r w:rsidRPr="006E052C">
        <w:rPr>
          <w:i/>
          <w:iCs/>
          <w:lang w:val="vi"/>
        </w:rPr>
        <w:t>Về lý luận</w:t>
      </w:r>
      <w:r w:rsidRPr="006E052C">
        <w:rPr>
          <w:lang w:val="vi"/>
        </w:rPr>
        <w:t xml:space="preserve">, luận án hệ thống và phát triển khung lý thuyết về hành vi đầu tư xanh của doanh nghiệp FDI trong bối cảnh kinh tế xanh và phát triển bền vững. Nghiên cứu khẳng định hành vi đầu tư xanh không chỉ chịu chi phối bởi lợi ích kinh tế mà còn bởi các cam kết phát triển bền vững toàn cầu và </w:t>
      </w:r>
      <w:r w:rsidRPr="006E052C">
        <w:rPr>
          <w:lang w:val="vi"/>
        </w:rPr>
        <w:lastRenderedPageBreak/>
        <w:t>khung pháp lý của nước tiếp nhận, đồng thời xây dựng mô hình phân tích tác động của đầu tư xanh đến kết quả hoạt động doanh nghiệp, có xét vai trò điều tiết của chính sách xanh của Chính phủ.</w:t>
      </w:r>
    </w:p>
    <w:p w14:paraId="279314F9" w14:textId="7FEEF17E" w:rsidR="006029CB" w:rsidRPr="006E052C" w:rsidRDefault="006029CB" w:rsidP="006E052C">
      <w:pPr>
        <w:spacing w:line="312" w:lineRule="auto"/>
        <w:rPr>
          <w:lang w:val="vi"/>
        </w:rPr>
      </w:pPr>
      <w:r w:rsidRPr="006E052C">
        <w:rPr>
          <w:i/>
          <w:iCs/>
          <w:lang w:val="vi"/>
        </w:rPr>
        <w:t>Về thực tiễn</w:t>
      </w:r>
      <w:r w:rsidRPr="006E052C">
        <w:rPr>
          <w:lang w:val="vi"/>
        </w:rPr>
        <w:t>, luận án phân tích thực trạng hành vi đầu tư xanh của doanh nghiệp FDI tại Hà Nội, cho thấy sự tập trung vào công nghệ cao và sản xuất xanh nhưng việc triển khai còn thiếu đồng bộ, phụ thuộc vào chi phí và hỗ trợ chính sách. Kết quả thực nghiệm khẳng định các hành vi đầu tư xanh có tác động tích cực đến kết quả hoạt động doanh nghiệp, trong đó chính sách phát triển xanh của Chính phủ giữ vai trò điều tiết quan trọng.</w:t>
      </w:r>
    </w:p>
    <w:p w14:paraId="38BC3C50" w14:textId="45A78675" w:rsidR="004E6E12" w:rsidRPr="006E052C" w:rsidRDefault="006029CB" w:rsidP="006E052C">
      <w:pPr>
        <w:spacing w:line="312" w:lineRule="auto"/>
        <w:rPr>
          <w:lang w:val="vi"/>
        </w:rPr>
      </w:pPr>
      <w:r w:rsidRPr="006E052C">
        <w:rPr>
          <w:i/>
          <w:iCs/>
          <w:lang w:val="vi"/>
        </w:rPr>
        <w:t>Về hàm ý và giải pháp</w:t>
      </w:r>
      <w:r w:rsidRPr="006E052C">
        <w:rPr>
          <w:lang w:val="vi"/>
        </w:rPr>
        <w:t>, luận án đề xuất doanh nghiệp FDI tích hợp mục tiêu môi trường vào chiến lược kinh doanh, coi đầu tư xanh là lợi thế cạnh tranh dài hạn thông qua đổi mới công nghệ, phát triển nhân lực và chuỗi cung ứng xanh. Đồng thời, nghiên cứu kiến nghị Nhà nước và Hà Nội hoàn thiện khung pháp lý, sàng lọc dự án FDI gắn với cam kết môi trường, phát triển hạ tầng và tín dụng xanh, cải cách thủ tục hành chính và phát huy vai trò của các hiệp hội doanh nghiệp.</w:t>
      </w:r>
    </w:p>
    <w:p w14:paraId="1E35E5A3" w14:textId="1DCDD50A" w:rsidR="00F10D82" w:rsidRPr="006E052C" w:rsidRDefault="00BE28F3" w:rsidP="006E052C">
      <w:pPr>
        <w:pStyle w:val="Heading2"/>
        <w:spacing w:line="312" w:lineRule="auto"/>
      </w:pPr>
      <w:r w:rsidRPr="006E052C">
        <w:t xml:space="preserve">6. </w:t>
      </w:r>
      <w:r w:rsidR="00072D27" w:rsidRPr="006E052C">
        <w:t>Bố cục của luận án</w:t>
      </w:r>
    </w:p>
    <w:p w14:paraId="25332155" w14:textId="77777777" w:rsidR="00072D27" w:rsidRPr="006E052C" w:rsidRDefault="00072D27" w:rsidP="006E052C">
      <w:pPr>
        <w:spacing w:line="312" w:lineRule="auto"/>
        <w:rPr>
          <w:lang w:val="vi"/>
        </w:rPr>
      </w:pPr>
      <w:r w:rsidRPr="006E052C">
        <w:rPr>
          <w:lang w:val="vi"/>
        </w:rPr>
        <w:t>Luận án được tổ chức thành 4 chương, không kể mở đầu và kết luận, gồm:</w:t>
      </w:r>
    </w:p>
    <w:p w14:paraId="35927479" w14:textId="60F3F4CE" w:rsidR="00072D27" w:rsidRPr="006E052C" w:rsidRDefault="00072D27" w:rsidP="006E052C">
      <w:pPr>
        <w:spacing w:line="312" w:lineRule="auto"/>
        <w:rPr>
          <w:lang w:val="vi"/>
        </w:rPr>
      </w:pPr>
      <w:r w:rsidRPr="006E052C">
        <w:rPr>
          <w:lang w:val="vi"/>
        </w:rPr>
        <w:t>● Chương 1: Tổng quan tình hình nghiên cứu</w:t>
      </w:r>
    </w:p>
    <w:p w14:paraId="4E8B2172" w14:textId="3F829973" w:rsidR="00072D27" w:rsidRPr="006E052C" w:rsidRDefault="00072D27" w:rsidP="006E052C">
      <w:pPr>
        <w:spacing w:line="312" w:lineRule="auto"/>
        <w:rPr>
          <w:lang w:val="vi"/>
        </w:rPr>
      </w:pPr>
      <w:r w:rsidRPr="006E052C">
        <w:rPr>
          <w:lang w:val="vi"/>
        </w:rPr>
        <w:t>● Chương 2: Cơ sở lý luận về hành vi đầu tư xanh của doanh nghiệp FDI</w:t>
      </w:r>
    </w:p>
    <w:p w14:paraId="4A8EE3F0" w14:textId="5992B223" w:rsidR="00072D27" w:rsidRPr="006E052C" w:rsidRDefault="00072D27" w:rsidP="006E052C">
      <w:pPr>
        <w:spacing w:line="312" w:lineRule="auto"/>
        <w:rPr>
          <w:lang w:val="vi"/>
        </w:rPr>
      </w:pPr>
      <w:r w:rsidRPr="006E052C">
        <w:rPr>
          <w:lang w:val="vi"/>
        </w:rPr>
        <w:t xml:space="preserve">● Chương 3: Thực trạng hành vi đầu tư xanh của doanh nghiệp FDI trên địa bàn </w:t>
      </w:r>
      <w:r w:rsidR="007D3B3A" w:rsidRPr="006E052C">
        <w:rPr>
          <w:lang w:val="vi"/>
        </w:rPr>
        <w:t>TP. Hà Nội</w:t>
      </w:r>
    </w:p>
    <w:p w14:paraId="13BB7C37" w14:textId="0F35DAC3" w:rsidR="00F10D82" w:rsidRPr="006E052C" w:rsidRDefault="00072D27" w:rsidP="006E052C">
      <w:pPr>
        <w:spacing w:line="312" w:lineRule="auto"/>
        <w:rPr>
          <w:lang w:val="vi"/>
        </w:rPr>
      </w:pPr>
      <w:r w:rsidRPr="006E052C">
        <w:rPr>
          <w:lang w:val="vi"/>
        </w:rPr>
        <w:t xml:space="preserve">● Chương 4: Đề xuất giải pháp và kiến nghị thúc đẩy hành vi đầu tư xanh của các doanh nghiệp FDI trên địa bàn </w:t>
      </w:r>
      <w:r w:rsidR="007D3B3A" w:rsidRPr="006E052C">
        <w:rPr>
          <w:lang w:val="vi"/>
        </w:rPr>
        <w:t>TP. Hà Nội</w:t>
      </w:r>
      <w:r w:rsidRPr="006E052C">
        <w:rPr>
          <w:lang w:val="vi"/>
        </w:rPr>
        <w:t xml:space="preserve"> trong giai đoạn 2025 – 2030, tầm nhìn 2050</w:t>
      </w:r>
    </w:p>
    <w:p w14:paraId="1EC732C5" w14:textId="77777777" w:rsidR="00630B2A" w:rsidRPr="006E052C" w:rsidRDefault="00630B2A" w:rsidP="006E052C">
      <w:pPr>
        <w:spacing w:line="312" w:lineRule="auto"/>
        <w:rPr>
          <w:lang w:val="vi"/>
        </w:rPr>
      </w:pPr>
    </w:p>
    <w:p w14:paraId="4CB49276" w14:textId="173C77BC" w:rsidR="00BE28F3" w:rsidRPr="006E052C" w:rsidRDefault="006E052C" w:rsidP="006E052C">
      <w:pPr>
        <w:pStyle w:val="Heading1"/>
        <w:spacing w:line="312" w:lineRule="auto"/>
      </w:pPr>
      <w:r w:rsidRPr="006E052C">
        <w:br w:type="column"/>
      </w:r>
      <w:r w:rsidR="00BE28F3" w:rsidRPr="006E052C">
        <w:lastRenderedPageBreak/>
        <w:t>CHƯƠNG 1</w:t>
      </w:r>
      <w:r w:rsidR="009D133A" w:rsidRPr="006E052C">
        <w:t>:</w:t>
      </w:r>
      <w:r w:rsidR="00BE28F3" w:rsidRPr="006E052C">
        <w:t xml:space="preserve"> </w:t>
      </w:r>
      <w:r w:rsidR="00072D27" w:rsidRPr="006E052C">
        <w:t>TỔNG QUAN TÌNH HÌNH NGHIÊN CỨU</w:t>
      </w:r>
    </w:p>
    <w:p w14:paraId="466395EE" w14:textId="1B0D31FC" w:rsidR="00BE28F3" w:rsidRPr="006E052C" w:rsidRDefault="00072D27" w:rsidP="006E052C">
      <w:pPr>
        <w:pStyle w:val="Heading2"/>
        <w:spacing w:line="312" w:lineRule="auto"/>
      </w:pPr>
      <w:r w:rsidRPr="006E052C">
        <w:t>1.1. Tổng quan tình hình nghiên cứu liên quan đến đề tài</w:t>
      </w:r>
    </w:p>
    <w:p w14:paraId="757BA153" w14:textId="44437C31" w:rsidR="00BE28F3" w:rsidRPr="006E052C" w:rsidRDefault="00072D27" w:rsidP="006E052C">
      <w:pPr>
        <w:pStyle w:val="Heading3"/>
        <w:spacing w:line="312" w:lineRule="auto"/>
      </w:pPr>
      <w:r w:rsidRPr="006E052C">
        <w:t>1.1.1. Các nghiên cứu về hành vi đầu tư xanh của doanh nghiệp và các yếu tố tác động</w:t>
      </w:r>
    </w:p>
    <w:p w14:paraId="621E192B" w14:textId="1B9AABFB" w:rsidR="00072D27" w:rsidRPr="006E052C" w:rsidRDefault="00072D27" w:rsidP="006E052C">
      <w:pPr>
        <w:spacing w:line="312" w:lineRule="auto"/>
        <w:rPr>
          <w:lang w:val="vi"/>
        </w:rPr>
      </w:pPr>
      <w:r w:rsidRPr="006E052C">
        <w:rPr>
          <w:lang w:val="vi"/>
        </w:rPr>
        <w:t xml:space="preserve">Các nghiên cứu nổi bật gồm: </w:t>
      </w:r>
      <w:r w:rsidRPr="006E052C">
        <w:rPr>
          <w:lang w:val="vi-VN"/>
        </w:rPr>
        <w:t>Mahbub và cộng sự (2022)</w:t>
      </w:r>
      <w:r w:rsidRPr="006E052C">
        <w:rPr>
          <w:lang w:val="vi"/>
        </w:rPr>
        <w:t xml:space="preserve">, </w:t>
      </w:r>
      <w:r w:rsidRPr="006E052C">
        <w:rPr>
          <w:lang w:val="vi-VN"/>
        </w:rPr>
        <w:t>Chipalkatti và cộng sự (2021)</w:t>
      </w:r>
      <w:r w:rsidRPr="006E052C">
        <w:rPr>
          <w:lang w:val="vi"/>
        </w:rPr>
        <w:t>, Pástor và cộng sự (2021), Sauvant và cộng sự (2021), Aust và cộng sự (2020), AlMazrouie &amp; Nobanee (2020), Greeninvest (2017), Ridzuan và cộng sự (2017) …</w:t>
      </w:r>
    </w:p>
    <w:p w14:paraId="22E8F380" w14:textId="7BAAE15B" w:rsidR="00BE28F3" w:rsidRPr="006E052C" w:rsidRDefault="00072D27" w:rsidP="006E052C">
      <w:pPr>
        <w:pStyle w:val="Heading3"/>
        <w:spacing w:line="312" w:lineRule="auto"/>
      </w:pPr>
      <w:r w:rsidRPr="006E052C">
        <w:t>1.1.2. Các nghiên cứu về tác động của hành vi đầu tư xanh đến kết quả hoạt hoạt động của doanh nghiệp</w:t>
      </w:r>
    </w:p>
    <w:p w14:paraId="6575A44C" w14:textId="0D2D94AD" w:rsidR="00072D27" w:rsidRPr="006E052C" w:rsidRDefault="00072D27" w:rsidP="006E052C">
      <w:pPr>
        <w:spacing w:line="312" w:lineRule="auto"/>
        <w:rPr>
          <w:lang w:val="vi"/>
        </w:rPr>
      </w:pPr>
      <w:r w:rsidRPr="006E052C">
        <w:rPr>
          <w:szCs w:val="24"/>
          <w:lang w:val="vi"/>
        </w:rPr>
        <w:t>Các nghiên cứu tiêu biểu như: Chen và Ma (2021), Siedschlag và Yan (2023), Khan và cộng sự (2023), Li và cộng sự (2023), Khan và Muktar (2024), Ai và cộng sự (2024), Li và cộng sự (2019), Abbas (2024), Mehrajunnisa và cộng sự (2023), …</w:t>
      </w:r>
    </w:p>
    <w:p w14:paraId="5DD24333" w14:textId="52421617" w:rsidR="00BE28F3" w:rsidRPr="006E052C" w:rsidRDefault="00072D27" w:rsidP="006E052C">
      <w:pPr>
        <w:pStyle w:val="Heading3"/>
        <w:spacing w:line="312" w:lineRule="auto"/>
      </w:pPr>
      <w:r w:rsidRPr="006E052C">
        <w:t>1.1.3. Các nghiên cứu tại Việt Nam về hành vi đầu tư xanh của doanh nghiệp FDI</w:t>
      </w:r>
    </w:p>
    <w:p w14:paraId="25FEAB1D" w14:textId="64C385E8" w:rsidR="00072D27" w:rsidRPr="006E052C" w:rsidRDefault="00072D27" w:rsidP="006E052C">
      <w:pPr>
        <w:spacing w:line="312" w:lineRule="auto"/>
        <w:rPr>
          <w:lang w:val="vi"/>
        </w:rPr>
      </w:pPr>
      <w:r w:rsidRPr="006E052C">
        <w:rPr>
          <w:lang w:val="vi"/>
        </w:rPr>
        <w:t>Các nghiên cứu chính gồm: Le và Tham (2024), Nguyễn Hoàng Việt &amp; và cộng sự (2021), Hồ và cộng sự (2020), Nguyen và cộng sự (2019), Phạm (2019), Nguyễn (2019), …</w:t>
      </w:r>
    </w:p>
    <w:p w14:paraId="777288FE" w14:textId="77777777" w:rsidR="009D133A" w:rsidRPr="006E052C" w:rsidRDefault="009D133A" w:rsidP="006E052C">
      <w:pPr>
        <w:pStyle w:val="Heading2"/>
        <w:spacing w:line="312" w:lineRule="auto"/>
      </w:pPr>
      <w:r w:rsidRPr="006E052C">
        <w:t xml:space="preserve">1.2. Khoảng trống nghiên cứu và tiếp cận kế thừa phát triển của luận án </w:t>
      </w:r>
    </w:p>
    <w:p w14:paraId="449090CE" w14:textId="14532D21" w:rsidR="006029CB" w:rsidRPr="006E052C" w:rsidRDefault="006029CB" w:rsidP="006E052C">
      <w:pPr>
        <w:spacing w:line="312" w:lineRule="auto"/>
        <w:rPr>
          <w:lang w:val="vi"/>
        </w:rPr>
      </w:pPr>
      <w:bookmarkStart w:id="3" w:name="_Hlk173879512"/>
      <w:r w:rsidRPr="006E052C">
        <w:rPr>
          <w:lang w:val="vi"/>
        </w:rPr>
        <w:t xml:space="preserve">Tổng quan nghiên cứu cho thấy các công trình quốc tế về FDI và phát triển bền vững từ những năm 1990 khá phong phú, nhưng chủ yếu tập trung vào lựa chọn loại hình và địa điểm đầu tư, hoặc thực hiện tại các quốc gia phát triển với hệ thống chính sách và tiêu chuẩn ESG hoàn thiện. Nghiên cứu về hành vi đầu tư xanh trong suốt quá trình hoạt động của doanh nghiệp FDI, cũng như mối quan hệ giữa hành vi này và kết quả hoạt động, đặc biệt tại các quốc gia đang phát triển như Việt Nam, vẫn còn hạn chế. Tại Việt Nam, các nghiên cứu hiện nay chủ yếu ở cấp độ vĩ mô hoặc doanh nghiệp nói chung, trong khi các nghiên cứu chuyên sâu về hành vi đầu tư </w:t>
      </w:r>
      <w:r w:rsidRPr="006E052C">
        <w:rPr>
          <w:lang w:val="vi"/>
        </w:rPr>
        <w:lastRenderedPageBreak/>
        <w:t>xanh của FDI và vai trò điều tiết của chính sách phát triển xanh hầu như chưa được khai thác.</w:t>
      </w:r>
    </w:p>
    <w:p w14:paraId="48DB5FDA" w14:textId="179EDCFD" w:rsidR="009D133A" w:rsidRPr="006E052C" w:rsidRDefault="009D133A" w:rsidP="006E052C">
      <w:pPr>
        <w:spacing w:line="312" w:lineRule="auto"/>
        <w:rPr>
          <w:lang w:val="vi"/>
        </w:rPr>
      </w:pPr>
      <w:r w:rsidRPr="006E052C">
        <w:rPr>
          <w:lang w:val="vi"/>
        </w:rPr>
        <w:t>Trên cơ sở kế thừa có chọn lọc các nghiên cứu trong và ngoài nước, đề tài vận dụng các học thuyết liên quan và cách tiếp cận hỗn hợp để tập trung làm rõ khoảng trống này, thông qua nghiên cứu hành vi đầu tư xanh của doanh nghiệp FDI và tác động của hành vi này đến kết quả hoạt động của doanh nghiệp tại Hà Nội. Kết quả nghiên cứu kỳ vọng đóng góp cả về mặt học thuật lẫn thực tiễn, hỗ trợ thu hút FDI chất lượng cao và nâng cao hiệu quả hoạch định chính sách theo định hướng phát triển bền vững.</w:t>
      </w:r>
    </w:p>
    <w:p w14:paraId="7AE7E850" w14:textId="77777777" w:rsidR="009D133A" w:rsidRPr="006E052C" w:rsidRDefault="009D133A" w:rsidP="006E052C">
      <w:pPr>
        <w:spacing w:line="312" w:lineRule="auto"/>
        <w:rPr>
          <w:lang w:val="vi"/>
        </w:rPr>
      </w:pPr>
    </w:p>
    <w:bookmarkEnd w:id="3"/>
    <w:p w14:paraId="49A2F2F4" w14:textId="18F8853D" w:rsidR="00BE28F3" w:rsidRPr="006E052C" w:rsidRDefault="00BE28F3" w:rsidP="006E052C">
      <w:pPr>
        <w:pStyle w:val="Heading1"/>
        <w:spacing w:line="312" w:lineRule="auto"/>
      </w:pPr>
      <w:r w:rsidRPr="006E052C">
        <w:t>CHƯƠNG 2</w:t>
      </w:r>
      <w:r w:rsidR="009D133A" w:rsidRPr="006E052C">
        <w:t>: CƠ SỞ LÝ LUẬN VÀ THỰC TIỄN VỀ HÀNH VI ĐẦU TƯ XANH CỦA DOANH NGHIỆP FDI</w:t>
      </w:r>
    </w:p>
    <w:p w14:paraId="3AE2E99A" w14:textId="77777777" w:rsidR="009D133A" w:rsidRPr="006E052C" w:rsidRDefault="009D133A" w:rsidP="006E052C">
      <w:pPr>
        <w:pStyle w:val="Heading2"/>
        <w:spacing w:line="312" w:lineRule="auto"/>
      </w:pPr>
      <w:r w:rsidRPr="006E052C">
        <w:t xml:space="preserve">2.1. Các khái niệm cơ bản </w:t>
      </w:r>
    </w:p>
    <w:p w14:paraId="7C43918B" w14:textId="565D6143" w:rsidR="00BE28F3" w:rsidRPr="006E052C" w:rsidRDefault="009D133A" w:rsidP="006E052C">
      <w:pPr>
        <w:pStyle w:val="Heading3"/>
        <w:spacing w:line="312" w:lineRule="auto"/>
      </w:pPr>
      <w:r w:rsidRPr="006E052C">
        <w:t>2.1.1. Hành vi đầu tư của doanh nghiệp</w:t>
      </w:r>
    </w:p>
    <w:p w14:paraId="6381621B" w14:textId="55F716F7" w:rsidR="009D133A" w:rsidRPr="006E052C" w:rsidRDefault="006C5B74" w:rsidP="006E052C">
      <w:pPr>
        <w:spacing w:line="312" w:lineRule="auto"/>
        <w:rPr>
          <w:lang w:val="vi"/>
        </w:rPr>
      </w:pPr>
      <w:r w:rsidRPr="006E052C">
        <w:rPr>
          <w:lang w:val="vi"/>
        </w:rPr>
        <w:t>H</w:t>
      </w:r>
      <w:r w:rsidR="009D133A" w:rsidRPr="006E052C">
        <w:rPr>
          <w:lang w:val="vi"/>
        </w:rPr>
        <w:t>ành vi đầu tư của doanh nghiệp được định nghĩa là hành vi của nhà đầu tư doanh nghiệp liên quan đến việc tìm kiếm mua, sử dụng, đánh giá và loại bỏ hàng hóa, dịch vụ, ý tưởng hoặc kinh nghiệm để thỏa mãn nhu cầu và mong muốn đề ra (Rosenboim và cộng sự, 2008; Aharoni, 2011).</w:t>
      </w:r>
    </w:p>
    <w:p w14:paraId="12FC0FF3" w14:textId="77777777" w:rsidR="009D133A" w:rsidRPr="006E052C" w:rsidRDefault="009D133A" w:rsidP="006E052C">
      <w:pPr>
        <w:pStyle w:val="Heading3"/>
        <w:spacing w:line="312" w:lineRule="auto"/>
      </w:pPr>
      <w:r w:rsidRPr="006E052C">
        <w:t xml:space="preserve">2.1.2. Doanh nghiệp FDI </w:t>
      </w:r>
    </w:p>
    <w:p w14:paraId="1961E3D7" w14:textId="59F82750" w:rsidR="009D133A" w:rsidRPr="006E052C" w:rsidRDefault="009D133A" w:rsidP="006E052C">
      <w:pPr>
        <w:spacing w:line="312" w:lineRule="auto"/>
        <w:rPr>
          <w:lang w:val="vi"/>
        </w:rPr>
      </w:pPr>
      <w:r w:rsidRPr="006E052C">
        <w:rPr>
          <w:lang w:val="vi"/>
        </w:rPr>
        <w:t>Doanh nghiệp, theo Luật Doanh nghiệp 2020, là “</w:t>
      </w:r>
      <w:r w:rsidRPr="006E052C">
        <w:rPr>
          <w:i/>
          <w:iCs/>
          <w:lang w:val="vi"/>
        </w:rPr>
        <w:t>tổ chức có tên riêng, có tài sản, có trụ sở giao dịch, được thành lập hoặc đăng ký thành lập theo quy định của pháp luật nhằm mục đích kinh doanh</w:t>
      </w:r>
      <w:r w:rsidRPr="006E052C">
        <w:rPr>
          <w:lang w:val="vi"/>
        </w:rPr>
        <w:t>”. Luật Đầu tư 2020 cụ thể về doanh nghiệp FDI là “</w:t>
      </w:r>
      <w:r w:rsidRPr="006E052C">
        <w:rPr>
          <w:i/>
          <w:iCs/>
          <w:lang w:val="vi"/>
        </w:rPr>
        <w:t>tổ chức kinh tế có vốn đầu tư nước ngoài là tổ chức kinh tế có nhà đầu tư nước ngoài là thành viên hoặc cổ đông</w:t>
      </w:r>
      <w:r w:rsidRPr="006E052C">
        <w:rPr>
          <w:lang w:val="vi"/>
        </w:rPr>
        <w:t xml:space="preserve">” (Khoản 22 Điều 3). </w:t>
      </w:r>
    </w:p>
    <w:p w14:paraId="40E672D8" w14:textId="200914C9" w:rsidR="009D133A" w:rsidRPr="006E052C" w:rsidRDefault="006C5B74" w:rsidP="006E052C">
      <w:pPr>
        <w:spacing w:line="312" w:lineRule="auto"/>
        <w:rPr>
          <w:lang w:val="vi"/>
        </w:rPr>
      </w:pPr>
      <w:r w:rsidRPr="006E052C">
        <w:rPr>
          <w:lang w:val="vi"/>
        </w:rPr>
        <w:t>H</w:t>
      </w:r>
      <w:r w:rsidR="009D133A" w:rsidRPr="006E052C">
        <w:rPr>
          <w:lang w:val="vi"/>
        </w:rPr>
        <w:t>ành vi đầu tư của doanh nghiệp FDI là hành vi đầu tư của nhà đầu tư nước ngoài vào nước sở tại, đó là sự chuyển dịch vốn, nhân lực, công nghệ, ... vào quốc gia khác – quốc gia có những điều kiện thu hút đầu tư, chính sách đầu tư hấp dẫn, môi trường kinh doanh ổn định, cơ chế thông thoáng, có tiềm năng phát triển... nhằm phát triển sản xuất kinh doanh, mở rộng thị trường và tăng lợi nhuận.</w:t>
      </w:r>
    </w:p>
    <w:p w14:paraId="3E311AF9" w14:textId="77777777" w:rsidR="009D133A" w:rsidRPr="006E052C" w:rsidRDefault="009D133A" w:rsidP="006E052C">
      <w:pPr>
        <w:pStyle w:val="Heading3"/>
        <w:spacing w:line="312" w:lineRule="auto"/>
      </w:pPr>
      <w:r w:rsidRPr="006E052C">
        <w:lastRenderedPageBreak/>
        <w:t>2.1.3. Hành vi đầu tư xanh của doanh nghiệp</w:t>
      </w:r>
    </w:p>
    <w:p w14:paraId="1586511E" w14:textId="7CE4910E" w:rsidR="009D133A" w:rsidRPr="006E052C" w:rsidRDefault="009D133A" w:rsidP="006E052C">
      <w:pPr>
        <w:spacing w:line="312" w:lineRule="auto"/>
        <w:rPr>
          <w:lang w:val="vi"/>
        </w:rPr>
      </w:pPr>
      <w:r w:rsidRPr="006E052C">
        <w:rPr>
          <w:lang w:val="vi"/>
        </w:rPr>
        <w:t>Hành vi đầu tư xanh của doanh nghiệp là quá trình doanh nghiệp đầu tư dựa trên những tiêu chí bảo vệ môi trường và/hoặc tác động tích cực đến môi trường, như vào các hoạt động sản xuất kinh doanh giảm sử dụng tài nguyên thiên nhiên, giảm khí thải vào không khí; hay các hoạt động tạo ra các sản phẩm, dịch vụ xanh, thân thiện với môi trường.</w:t>
      </w:r>
    </w:p>
    <w:p w14:paraId="6E5ECE27" w14:textId="77777777" w:rsidR="009D133A" w:rsidRPr="006E052C" w:rsidRDefault="009D133A" w:rsidP="006E052C">
      <w:pPr>
        <w:pStyle w:val="Heading2"/>
        <w:spacing w:line="312" w:lineRule="auto"/>
      </w:pPr>
      <w:r w:rsidRPr="006E052C">
        <w:t>2.2. Khung lý luận hành vi đầu tư xanh của doanh nghiệp FDI</w:t>
      </w:r>
    </w:p>
    <w:p w14:paraId="4A00C7E0" w14:textId="46179738" w:rsidR="009D133A" w:rsidRPr="006E052C" w:rsidRDefault="009D133A" w:rsidP="006E052C">
      <w:pPr>
        <w:pStyle w:val="Heading3"/>
        <w:spacing w:line="312" w:lineRule="auto"/>
      </w:pPr>
      <w:r w:rsidRPr="006E052C">
        <w:t>2.2.1. Lý thuyết nền hành vi đầu tư xanh của doanh nghiệp FDI</w:t>
      </w:r>
    </w:p>
    <w:p w14:paraId="74C5DCE4" w14:textId="7337C8C4" w:rsidR="00630B2A" w:rsidRPr="006E052C" w:rsidRDefault="009D133A" w:rsidP="006E052C">
      <w:pPr>
        <w:spacing w:line="312" w:lineRule="auto"/>
        <w:rPr>
          <w:lang w:val="vi"/>
        </w:rPr>
      </w:pPr>
      <w:r w:rsidRPr="006E052C">
        <w:rPr>
          <w:lang w:val="vi"/>
        </w:rPr>
        <w:t>Luận án sử dụng kết hợp học thuyết tài chính hành vi, học thuyết đầu tư trách nhiệm xã hội, thuyết thể chế và Học thuyết nguồn lực.</w:t>
      </w:r>
    </w:p>
    <w:p w14:paraId="2206E2EA" w14:textId="77777777" w:rsidR="004B071B" w:rsidRPr="006E052C" w:rsidRDefault="004B071B" w:rsidP="006E052C">
      <w:pPr>
        <w:pStyle w:val="Heading3"/>
        <w:spacing w:line="312" w:lineRule="auto"/>
      </w:pPr>
      <w:r w:rsidRPr="006E052C">
        <w:t>2.2.2. Các nội dung hành vi đầu tư xanh của doanh nghiệp FDI</w:t>
      </w:r>
    </w:p>
    <w:p w14:paraId="7E7D462D" w14:textId="32A8910C" w:rsidR="004B071B" w:rsidRPr="006E052C" w:rsidRDefault="004B071B" w:rsidP="006E052C">
      <w:pPr>
        <w:spacing w:line="312" w:lineRule="auto"/>
        <w:rPr>
          <w:lang w:val="vi"/>
        </w:rPr>
      </w:pPr>
      <w:r w:rsidRPr="006E052C">
        <w:rPr>
          <w:i/>
          <w:iCs/>
          <w:lang w:val="vi"/>
        </w:rPr>
        <w:t>Hành vi đầu tư đổi mới sáng tạo xanh</w:t>
      </w:r>
      <w:r w:rsidRPr="006E052C">
        <w:rPr>
          <w:lang w:val="vi"/>
        </w:rPr>
        <w:t xml:space="preserve"> của doanh nghiệp FDI thể hiện doanh nghiệp chủ động phân bổ nguồn lực vào các hoạt động nghiên cứu, phát triển và ứng dụng công nghệ, quy trình hoặc sản phẩm thân thiện với môi trường.</w:t>
      </w:r>
    </w:p>
    <w:p w14:paraId="02D3AFD3" w14:textId="453D5F27" w:rsidR="004B071B" w:rsidRPr="006E052C" w:rsidRDefault="0054691C" w:rsidP="006E052C">
      <w:pPr>
        <w:spacing w:line="312" w:lineRule="auto"/>
        <w:rPr>
          <w:lang w:val="vi"/>
        </w:rPr>
      </w:pPr>
      <w:r w:rsidRPr="006E052C">
        <w:rPr>
          <w:i/>
          <w:iCs/>
          <w:lang w:val="vi"/>
        </w:rPr>
        <w:t>Hành vi đầu tư phát triển năng lực xanh</w:t>
      </w:r>
      <w:r w:rsidRPr="006E052C">
        <w:rPr>
          <w:lang w:val="vi"/>
        </w:rPr>
        <w:t xml:space="preserve"> của doanh nghiệp FDI phản ánh chiến lược chủ động và có hệ thống nhằm tăng cường khả năng nội tại trong việc quản lý tài nguyên, giảm thiểu tác động tiêu cực đến môi trường và thực hiện các hoạt động sản xuất – kinh doanh theo hướng bền vững.</w:t>
      </w:r>
    </w:p>
    <w:p w14:paraId="7369256E" w14:textId="634AE87B" w:rsidR="0054691C" w:rsidRPr="006E052C" w:rsidRDefault="0054691C" w:rsidP="006E052C">
      <w:pPr>
        <w:spacing w:line="312" w:lineRule="auto"/>
        <w:rPr>
          <w:lang w:val="vi"/>
        </w:rPr>
      </w:pPr>
      <w:r w:rsidRPr="006E052C">
        <w:rPr>
          <w:i/>
          <w:iCs/>
          <w:lang w:val="vi"/>
        </w:rPr>
        <w:t>Hành vi đầu tư vào thực hành quản trị nhân sự xanh</w:t>
      </w:r>
      <w:r w:rsidRPr="006E052C">
        <w:rPr>
          <w:lang w:val="vi"/>
        </w:rPr>
        <w:t xml:space="preserve"> (QTNS) của doanh nghiệp FDI phản ánh chiến lược QTNS hiện đại, trong đó các chức năng nhân sự truyền thống như tuyển dụng, đào tạo, đánh giá hiệu suất và khen thưởng được tích hợp với các mục tiêu môi trường và phát triển bền vững.</w:t>
      </w:r>
    </w:p>
    <w:p w14:paraId="7264FC7F" w14:textId="335A02C4" w:rsidR="009D133A" w:rsidRPr="006E052C" w:rsidRDefault="0054691C" w:rsidP="006E052C">
      <w:pPr>
        <w:spacing w:line="312" w:lineRule="auto"/>
        <w:rPr>
          <w:lang w:val="vi"/>
        </w:rPr>
      </w:pPr>
      <w:r w:rsidRPr="006E052C">
        <w:rPr>
          <w:i/>
          <w:iCs/>
          <w:lang w:val="vi"/>
        </w:rPr>
        <w:t>Hành vi đầu tư vào thực hành quản trị chuỗi cung ứng</w:t>
      </w:r>
      <w:r w:rsidRPr="006E052C">
        <w:rPr>
          <w:lang w:val="vi"/>
        </w:rPr>
        <w:t xml:space="preserve"> (QTCUU) xanh đang dần trở thành một xu hướng quản trị chiến lược ngày càng được chú trọng trong bối cảnh toàn cầu hóa gắn với phát triển bền vững.</w:t>
      </w:r>
    </w:p>
    <w:p w14:paraId="003D4777" w14:textId="48857AE7" w:rsidR="0054691C" w:rsidRPr="006E052C" w:rsidRDefault="0054691C" w:rsidP="006E052C">
      <w:pPr>
        <w:spacing w:line="312" w:lineRule="auto"/>
        <w:rPr>
          <w:lang w:val="vi"/>
        </w:rPr>
      </w:pPr>
      <w:r w:rsidRPr="006E052C">
        <w:rPr>
          <w:i/>
          <w:iCs/>
          <w:lang w:val="vi"/>
        </w:rPr>
        <w:t>Hành vi đầu tư vào thực hành trách nhiệm xã hội</w:t>
      </w:r>
      <w:r w:rsidRPr="006E052C">
        <w:rPr>
          <w:lang w:val="vi"/>
        </w:rPr>
        <w:t xml:space="preserve"> (TNXH) </w:t>
      </w:r>
      <w:r w:rsidRPr="006E052C">
        <w:rPr>
          <w:i/>
          <w:iCs/>
          <w:lang w:val="vi"/>
        </w:rPr>
        <w:t>với môi trường</w:t>
      </w:r>
      <w:r w:rsidRPr="006E052C">
        <w:rPr>
          <w:lang w:val="vi"/>
        </w:rPr>
        <w:t xml:space="preserve"> của doanh nghiệp FDI phản ánh cam kết của doanh nghiệp trong việc giảm thiểu tác động tiêu cực đến hệ sinh thái tự nhiên, thông qua các chiến lược và hoạt động hướng đến bảo vệ tài nguyên, giảm phát thải và thúc đẩy phát triển bền vững.</w:t>
      </w:r>
    </w:p>
    <w:p w14:paraId="0827B234" w14:textId="20BFEF9F" w:rsidR="0054691C" w:rsidRPr="006E052C" w:rsidRDefault="0054691C" w:rsidP="006E052C">
      <w:pPr>
        <w:spacing w:line="312" w:lineRule="auto"/>
        <w:rPr>
          <w:lang w:val="vi"/>
        </w:rPr>
      </w:pPr>
      <w:r w:rsidRPr="006E052C">
        <w:rPr>
          <w:i/>
          <w:iCs/>
          <w:lang w:val="vi"/>
        </w:rPr>
        <w:lastRenderedPageBreak/>
        <w:t>Hành vi đầu tư vào thực hành TNXH với cộng đồng</w:t>
      </w:r>
      <w:r w:rsidRPr="006E052C">
        <w:rPr>
          <w:lang w:val="vi"/>
        </w:rPr>
        <w:t xml:space="preserve"> của doanh nghiệp FDI thể hiện cam kết của doanh nghiệp trong việc đóng góp tích cực vào sự phát triển kinh tế - xã hội tại địa phương nơi đang hoạt động.</w:t>
      </w:r>
    </w:p>
    <w:p w14:paraId="02C0CE33" w14:textId="1F69A8F1" w:rsidR="0054691C" w:rsidRPr="006E052C" w:rsidRDefault="0054691C" w:rsidP="006E052C">
      <w:pPr>
        <w:pStyle w:val="Heading3"/>
        <w:spacing w:line="312" w:lineRule="auto"/>
      </w:pPr>
      <w:r w:rsidRPr="006E052C">
        <w:t>2.2.3. Các yếu tố ảnh hưởng đến hành vi đầu tư xanh của doanh nghiệp FDI</w:t>
      </w:r>
    </w:p>
    <w:p w14:paraId="6BED63D0" w14:textId="06C60BDE" w:rsidR="0054691C" w:rsidRPr="006E052C" w:rsidRDefault="0054691C" w:rsidP="006E052C">
      <w:pPr>
        <w:spacing w:line="312" w:lineRule="auto"/>
        <w:rPr>
          <w:lang w:val="vi"/>
        </w:rPr>
      </w:pPr>
      <w:r w:rsidRPr="006E052C">
        <w:rPr>
          <w:i/>
          <w:iCs/>
          <w:lang w:val="vi"/>
        </w:rPr>
        <w:t xml:space="preserve">Các yếu tố ảnh hưởng thuộc đặc điểm doanh nghiệp FDI </w:t>
      </w:r>
      <w:r w:rsidRPr="006E052C">
        <w:rPr>
          <w:lang w:val="vi"/>
        </w:rPr>
        <w:t>gồm: loại hình sở hữu, tỷ lệ sở hữu của quốc gia nhận đầu tư, thâm niên, thương hiệu và uy tín của doanh nghiệp FDI, tiềm lực tài chính và nguồn lực của doanh nghiệp FDI, chiến lược phát triển bền vững của doanh nghiệp FDI, năng lực quản trị và giải quyết mâu thuẫn của doanh nghiệp FDI.</w:t>
      </w:r>
    </w:p>
    <w:p w14:paraId="0946A2E8" w14:textId="0302F050" w:rsidR="0054691C" w:rsidRPr="006E052C" w:rsidRDefault="0054691C" w:rsidP="006E052C">
      <w:pPr>
        <w:spacing w:line="312" w:lineRule="auto"/>
        <w:rPr>
          <w:lang w:val="vi"/>
        </w:rPr>
      </w:pPr>
      <w:r w:rsidRPr="006E052C">
        <w:rPr>
          <w:i/>
          <w:iCs/>
          <w:lang w:val="vi"/>
        </w:rPr>
        <w:t>Các yếu tố ảnh hưởng thuộc đặc điểm công ty mẹ của doanh nghiệp FDI</w:t>
      </w:r>
      <w:r w:rsidRPr="006E052C">
        <w:rPr>
          <w:lang w:val="vi"/>
        </w:rPr>
        <w:t>: nhận thức về phát triển bền vững, trình độ phát triển công nghệ, quy mô và tiềm lực của công ty mẹ, lịch sử, thương hiệu và uy tín của công ty mẹ, mức độ cam kết của công ty mẹ đối với các mục tiêu phát triển bền vững.</w:t>
      </w:r>
    </w:p>
    <w:p w14:paraId="3821E401" w14:textId="4A0F2AF6" w:rsidR="0054691C" w:rsidRPr="006E052C" w:rsidRDefault="0054691C" w:rsidP="006E052C">
      <w:pPr>
        <w:spacing w:line="312" w:lineRule="auto"/>
        <w:rPr>
          <w:lang w:val="vi"/>
        </w:rPr>
      </w:pPr>
      <w:r w:rsidRPr="006E052C">
        <w:rPr>
          <w:i/>
          <w:iCs/>
          <w:lang w:val="vi"/>
        </w:rPr>
        <w:t>Các yếu tố môi trường vĩ mô và môi trường ngành của nước sở tại</w:t>
      </w:r>
      <w:r w:rsidRPr="006E052C">
        <w:rPr>
          <w:lang w:val="vi"/>
        </w:rPr>
        <w:t xml:space="preserve"> gồm: yếu tố chính trị và pháp lý, yếu tố kinh tế, yếu tố văn hóa xã hội, cơ sở hạ tầng và công nghệ, xu hướng tiêu dùng xanh, quy mô thị trường và mức độ hấp dẫn, nguồn nhân lực.</w:t>
      </w:r>
    </w:p>
    <w:p w14:paraId="7FD17A7C" w14:textId="77777777" w:rsidR="006E6196" w:rsidRPr="006E052C" w:rsidRDefault="006E6196" w:rsidP="006E052C">
      <w:pPr>
        <w:pStyle w:val="Heading2"/>
        <w:spacing w:line="312" w:lineRule="auto"/>
      </w:pPr>
      <w:r w:rsidRPr="006E052C">
        <w:t>2.3. Mô hình và giả thuyết nghiên cứu lý thuyết tác động của hành vi đầu tư xanh đến kết quả hoạt động của doanh nghiệp FDI</w:t>
      </w:r>
    </w:p>
    <w:p w14:paraId="0A9E3D37" w14:textId="2254EC32" w:rsidR="006E6196" w:rsidRPr="006E052C" w:rsidRDefault="006E6196" w:rsidP="006E052C">
      <w:pPr>
        <w:spacing w:line="312" w:lineRule="auto"/>
        <w:ind w:firstLine="0"/>
        <w:rPr>
          <w:b/>
          <w:bCs/>
          <w:i/>
          <w:iCs/>
          <w:lang w:val="vi"/>
        </w:rPr>
      </w:pPr>
      <w:r w:rsidRPr="006E052C">
        <w:rPr>
          <w:b/>
          <w:bCs/>
          <w:i/>
          <w:iCs/>
          <w:lang w:val="vi"/>
        </w:rPr>
        <w:t>2.3.1. Cơ sở đề xuất mô hình nghiên cứu hành vi đầu tư xanh của doanh nghiệp FDI</w:t>
      </w:r>
    </w:p>
    <w:p w14:paraId="64C9AE42" w14:textId="5EC4F279" w:rsidR="0054691C" w:rsidRPr="006E052C" w:rsidRDefault="006E6196" w:rsidP="006E052C">
      <w:pPr>
        <w:spacing w:line="312" w:lineRule="auto"/>
        <w:rPr>
          <w:lang w:val="vi"/>
        </w:rPr>
      </w:pPr>
      <w:r w:rsidRPr="006E052C">
        <w:rPr>
          <w:lang w:val="vi"/>
        </w:rPr>
        <w:t>Luận án đề xuất mô hình nghiên cứu trên cơ sở kế thừa các nghiên cứu liên quan đã công bố. Cụ thể gồm: nghiên cứu của Siedschlag và Yan (2023), Chen và Ma (2021), Antonietti và Marzucchi (2014), Le và Tham (2024).</w:t>
      </w:r>
    </w:p>
    <w:p w14:paraId="707E20CA" w14:textId="5768B355" w:rsidR="006E6196" w:rsidRPr="006E052C" w:rsidRDefault="006E6196" w:rsidP="006E052C">
      <w:pPr>
        <w:spacing w:line="312" w:lineRule="auto"/>
        <w:ind w:firstLine="0"/>
        <w:rPr>
          <w:b/>
          <w:bCs/>
          <w:i/>
          <w:iCs/>
          <w:lang w:val="vi"/>
        </w:rPr>
      </w:pPr>
      <w:r w:rsidRPr="006E052C">
        <w:rPr>
          <w:b/>
          <w:bCs/>
          <w:i/>
          <w:iCs/>
          <w:lang w:val="vi"/>
        </w:rPr>
        <w:t>2.3.2. Mô hình và giả thuyết nghiên cứu</w:t>
      </w:r>
    </w:p>
    <w:p w14:paraId="553294F7" w14:textId="61F93197" w:rsidR="006E6196" w:rsidRPr="006E052C" w:rsidRDefault="006E6196" w:rsidP="006E052C">
      <w:pPr>
        <w:spacing w:line="312" w:lineRule="auto"/>
        <w:rPr>
          <w:lang w:val="vi"/>
        </w:rPr>
      </w:pPr>
      <w:r w:rsidRPr="006E052C">
        <w:rPr>
          <w:lang w:val="vi"/>
        </w:rPr>
        <w:t xml:space="preserve">Trên cơ sở kế thừa các nghiên cứu trước đồng thời hiệu chỉnh và bổ sung cho phù hợp với bối cảnh nghiên cứu, luận án đề xuất mô hình và các </w:t>
      </w:r>
      <w:r w:rsidRPr="006E052C">
        <w:rPr>
          <w:lang w:val="vi"/>
        </w:rPr>
        <w:lastRenderedPageBreak/>
        <w:t>giả thuyết nghiên cứu về tác động của hành vi đầu tư xanh đến kết quả hoạt động của của doanh nghiệp FDI như sau:</w:t>
      </w:r>
    </w:p>
    <w:p w14:paraId="3903C923" w14:textId="77777777" w:rsidR="006E6196" w:rsidRPr="006E052C" w:rsidRDefault="006E6196" w:rsidP="006E052C">
      <w:pPr>
        <w:tabs>
          <w:tab w:val="left" w:pos="993"/>
        </w:tabs>
        <w:spacing w:line="312" w:lineRule="auto"/>
        <w:ind w:firstLine="0"/>
        <w:rPr>
          <w:lang w:val="vi-VN"/>
        </w:rPr>
      </w:pPr>
      <w:r w:rsidRPr="006E052C">
        <w:rPr>
          <w:noProof/>
          <w:sz w:val="24"/>
        </w:rPr>
        <mc:AlternateContent>
          <mc:Choice Requires="wpg">
            <w:drawing>
              <wp:inline distT="0" distB="0" distL="0" distR="0" wp14:anchorId="254F7185" wp14:editId="04678633">
                <wp:extent cx="3952875" cy="2590800"/>
                <wp:effectExtent l="0" t="0" r="28575" b="19050"/>
                <wp:docPr id="1277149865" name="Group 5"/>
                <wp:cNvGraphicFramePr/>
                <a:graphic xmlns:a="http://schemas.openxmlformats.org/drawingml/2006/main">
                  <a:graphicData uri="http://schemas.microsoft.com/office/word/2010/wordprocessingGroup">
                    <wpg:wgp>
                      <wpg:cNvGrpSpPr/>
                      <wpg:grpSpPr>
                        <a:xfrm>
                          <a:off x="0" y="0"/>
                          <a:ext cx="3952875" cy="2590800"/>
                          <a:chOff x="-88607" y="65565"/>
                          <a:chExt cx="5759425" cy="2972275"/>
                        </a:xfrm>
                      </wpg:grpSpPr>
                      <wps:wsp>
                        <wps:cNvPr id="661333281" name="Rectangle 1"/>
                        <wps:cNvSpPr/>
                        <wps:spPr>
                          <a:xfrm>
                            <a:off x="-88607" y="318053"/>
                            <a:ext cx="2260307" cy="27197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67FFE7" w14:textId="77777777" w:rsidR="006E6196" w:rsidRPr="006E6196" w:rsidRDefault="006E6196" w:rsidP="006E6196">
                              <w:pPr>
                                <w:spacing w:line="240" w:lineRule="auto"/>
                                <w:ind w:firstLine="0"/>
                                <w:jc w:val="center"/>
                                <w:rPr>
                                  <w:b/>
                                  <w:bCs/>
                                  <w:sz w:val="20"/>
                                  <w:szCs w:val="20"/>
                                </w:rPr>
                              </w:pPr>
                              <w:r w:rsidRPr="006E6196">
                                <w:rPr>
                                  <w:b/>
                                  <w:bCs/>
                                  <w:sz w:val="20"/>
                                  <w:szCs w:val="20"/>
                                </w:rPr>
                                <w:t>Hành vi đầu tư xanh của doanh nghiệp FDI</w:t>
                              </w:r>
                            </w:p>
                            <w:p w14:paraId="5FD13EA5"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đổi mới sáng tạo xanh</w:t>
                              </w:r>
                            </w:p>
                            <w:p w14:paraId="795D3859"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năng lực xanh</w:t>
                              </w:r>
                            </w:p>
                            <w:p w14:paraId="0847AA91"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quản trị nhân sự xanh</w:t>
                              </w:r>
                            </w:p>
                            <w:p w14:paraId="40673672"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quản trị chuỗi cung ứng xanh</w:t>
                              </w:r>
                            </w:p>
                            <w:p w14:paraId="52A08EFA"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TNXH với môi trường</w:t>
                              </w:r>
                            </w:p>
                            <w:p w14:paraId="7499E54F"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TNXH với cộng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67505" name="Rectangle 2"/>
                        <wps:cNvSpPr/>
                        <wps:spPr>
                          <a:xfrm>
                            <a:off x="4505326" y="1190625"/>
                            <a:ext cx="1165492"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18FA89" w14:textId="77777777" w:rsidR="006E6196" w:rsidRPr="006E6196" w:rsidRDefault="006E6196" w:rsidP="006E6196">
                              <w:pPr>
                                <w:spacing w:line="240" w:lineRule="auto"/>
                                <w:ind w:firstLine="0"/>
                                <w:jc w:val="center"/>
                                <w:rPr>
                                  <w:b/>
                                  <w:bCs/>
                                  <w:sz w:val="20"/>
                                  <w:szCs w:val="20"/>
                                </w:rPr>
                              </w:pPr>
                              <w:r w:rsidRPr="006E6196">
                                <w:rPr>
                                  <w:b/>
                                  <w:bCs/>
                                  <w:sz w:val="20"/>
                                  <w:szCs w:val="20"/>
                                </w:rPr>
                                <w:t>Kết quả hoạt động của doanh nghiệp FDI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5401266" name="Straight Arrow Connector 3"/>
                        <wps:cNvCnPr/>
                        <wps:spPr>
                          <a:xfrm>
                            <a:off x="2171700" y="1657350"/>
                            <a:ext cx="2324100" cy="0"/>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39594080" name="Rectangle 2"/>
                        <wps:cNvSpPr/>
                        <wps:spPr>
                          <a:xfrm>
                            <a:off x="2724150" y="65565"/>
                            <a:ext cx="1266825" cy="8774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187907" w14:textId="77777777" w:rsidR="006E6196" w:rsidRPr="006E6196" w:rsidRDefault="006E6196" w:rsidP="006E6196">
                              <w:pPr>
                                <w:spacing w:line="240" w:lineRule="auto"/>
                                <w:ind w:firstLine="0"/>
                                <w:jc w:val="center"/>
                                <w:rPr>
                                  <w:b/>
                                  <w:bCs/>
                                  <w:sz w:val="20"/>
                                  <w:szCs w:val="20"/>
                                </w:rPr>
                              </w:pPr>
                              <w:r w:rsidRPr="006E6196">
                                <w:rPr>
                                  <w:b/>
                                  <w:bCs/>
                                  <w:sz w:val="20"/>
                                  <w:szCs w:val="20"/>
                                </w:rPr>
                                <w:t>Chính sách phát triển xanh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095305" name="Straight Arrow Connector 4"/>
                        <wps:cNvCnPr/>
                        <wps:spPr>
                          <a:xfrm>
                            <a:off x="3352800" y="952500"/>
                            <a:ext cx="0" cy="69532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543052944" name="Rectangle 2"/>
                        <wps:cNvSpPr/>
                        <wps:spPr>
                          <a:xfrm>
                            <a:off x="2244698" y="1704613"/>
                            <a:ext cx="2106866" cy="295276"/>
                          </a:xfrm>
                          <a:prstGeom prst="rect">
                            <a:avLst/>
                          </a:prstGeom>
                          <a:noFill/>
                          <a:ln w="12700" cap="flat" cmpd="sng" algn="ctr">
                            <a:noFill/>
                            <a:prstDash val="solid"/>
                            <a:miter lim="800000"/>
                          </a:ln>
                          <a:effectLst/>
                        </wps:spPr>
                        <wps:txbx>
                          <w:txbxContent>
                            <w:p w14:paraId="749B5BF7" w14:textId="77777777" w:rsidR="006E6196" w:rsidRPr="006E6196" w:rsidRDefault="006E6196" w:rsidP="006E6196">
                              <w:pPr>
                                <w:spacing w:line="240" w:lineRule="auto"/>
                                <w:ind w:firstLine="0"/>
                                <w:rPr>
                                  <w:sz w:val="20"/>
                                  <w:szCs w:val="20"/>
                                </w:rPr>
                              </w:pPr>
                              <w:r w:rsidRPr="006E6196">
                                <w:rPr>
                                  <w:sz w:val="20"/>
                                  <w:szCs w:val="20"/>
                                </w:rPr>
                                <w:t>H1, H2, H3, H4, H5, 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736469" name="Rectangle 2"/>
                        <wps:cNvSpPr/>
                        <wps:spPr>
                          <a:xfrm>
                            <a:off x="3288286" y="1104896"/>
                            <a:ext cx="502105" cy="295276"/>
                          </a:xfrm>
                          <a:prstGeom prst="rect">
                            <a:avLst/>
                          </a:prstGeom>
                          <a:noFill/>
                          <a:ln w="12700" cap="flat" cmpd="sng" algn="ctr">
                            <a:noFill/>
                            <a:prstDash val="solid"/>
                            <a:miter lim="800000"/>
                          </a:ln>
                          <a:effectLst/>
                        </wps:spPr>
                        <wps:txbx>
                          <w:txbxContent>
                            <w:p w14:paraId="0EAF244C" w14:textId="77777777" w:rsidR="006E6196" w:rsidRPr="006E6196" w:rsidRDefault="006E6196" w:rsidP="006E6196">
                              <w:pPr>
                                <w:ind w:firstLine="0"/>
                                <w:jc w:val="center"/>
                                <w:rPr>
                                  <w:sz w:val="20"/>
                                  <w:szCs w:val="20"/>
                                </w:rPr>
                              </w:pPr>
                              <w:r w:rsidRPr="006E6196">
                                <w:rPr>
                                  <w:sz w:val="20"/>
                                  <w:szCs w:val="2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4F7185" id="Group 5" o:spid="_x0000_s1026" style="width:311.25pt;height:204pt;mso-position-horizontal-relative:char;mso-position-vertical-relative:line" coordorigin="-886,655" coordsize="57594,2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">
                <v:rect id="Rectangle 1" o:spid="_x0000_s1027" style="position:absolute;left:-886;top:3180;width:22603;height:2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" fillcolor="window" strokecolor="windowText" strokeweight="1pt">
                  <v:textbox>
                    <w:txbxContent>
                      <w:p w14:paraId="7B67FFE7" w14:textId="77777777" w:rsidR="006E6196" w:rsidRPr="006E6196" w:rsidRDefault="006E6196" w:rsidP="006E6196">
                        <w:pPr>
                          <w:spacing w:line="240" w:lineRule="auto"/>
                          <w:ind w:firstLine="0"/>
                          <w:jc w:val="center"/>
                          <w:rPr>
                            <w:b/>
                            <w:bCs/>
                            <w:sz w:val="20"/>
                            <w:szCs w:val="20"/>
                          </w:rPr>
                        </w:pPr>
                        <w:r w:rsidRPr="006E6196">
                          <w:rPr>
                            <w:b/>
                            <w:bCs/>
                            <w:sz w:val="20"/>
                            <w:szCs w:val="20"/>
                          </w:rPr>
                          <w:t>Hành vi đầu tư xanh của doanh nghiệp FDI</w:t>
                        </w:r>
                      </w:p>
                      <w:p w14:paraId="5FD13EA5"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đổi mới sáng tạo xanh</w:t>
                        </w:r>
                      </w:p>
                      <w:p w14:paraId="795D3859"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năng lực xanh</w:t>
                        </w:r>
                      </w:p>
                      <w:p w14:paraId="0847AA91"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quản trị nhân sự xanh</w:t>
                        </w:r>
                      </w:p>
                      <w:p w14:paraId="40673672"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quản trị chuỗi cung ứng xanh</w:t>
                        </w:r>
                      </w:p>
                      <w:p w14:paraId="52A08EFA"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TNXH với môi trường</w:t>
                        </w:r>
                      </w:p>
                      <w:p w14:paraId="7499E54F" w14:textId="77777777" w:rsidR="006E6196" w:rsidRPr="006E6196" w:rsidRDefault="006E6196" w:rsidP="006E6196">
                        <w:pPr>
                          <w:pStyle w:val="ListParagraph"/>
                          <w:numPr>
                            <w:ilvl w:val="0"/>
                            <w:numId w:val="5"/>
                          </w:numPr>
                          <w:spacing w:after="160" w:line="240" w:lineRule="auto"/>
                          <w:jc w:val="left"/>
                          <w:rPr>
                            <w:sz w:val="20"/>
                            <w:szCs w:val="20"/>
                          </w:rPr>
                        </w:pPr>
                        <w:r w:rsidRPr="006E6196">
                          <w:rPr>
                            <w:sz w:val="20"/>
                            <w:szCs w:val="20"/>
                          </w:rPr>
                          <w:t>Đầu tư thực hành TNXH với cộng đồng</w:t>
                        </w:r>
                      </w:p>
                    </w:txbxContent>
                  </v:textbox>
                </v:rect>
                <v:rect id="Rectangle 2" o:spid="_x0000_s1028" style="position:absolute;left:45053;top:11906;width:11655;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" fillcolor="window" strokecolor="windowText" strokeweight="1pt">
                  <v:textbox>
                    <w:txbxContent>
                      <w:p w14:paraId="2618FA89" w14:textId="77777777" w:rsidR="006E6196" w:rsidRPr="006E6196" w:rsidRDefault="006E6196" w:rsidP="006E6196">
                        <w:pPr>
                          <w:spacing w:line="240" w:lineRule="auto"/>
                          <w:ind w:firstLine="0"/>
                          <w:jc w:val="center"/>
                          <w:rPr>
                            <w:b/>
                            <w:bCs/>
                            <w:sz w:val="20"/>
                            <w:szCs w:val="20"/>
                          </w:rPr>
                        </w:pPr>
                        <w:r w:rsidRPr="006E6196">
                          <w:rPr>
                            <w:b/>
                            <w:bCs/>
                            <w:sz w:val="20"/>
                            <w:szCs w:val="20"/>
                          </w:rPr>
                          <w:t>Kết quả hoạt động của doanh nghiệp FDI</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717;top:16573;width:23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" filled="t" fillcolor="window" strokecolor="windowText" strokeweight="1pt">
                  <v:stroke endarrow="block" joinstyle="miter"/>
                </v:shape>
                <v:rect id="Rectangle 2" o:spid="_x0000_s1030" style="position:absolute;left:27241;top:655;width:12668;height:8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" fillcolor="window" strokecolor="windowText" strokeweight="1pt">
                  <v:textbox>
                    <w:txbxContent>
                      <w:p w14:paraId="48187907" w14:textId="77777777" w:rsidR="006E6196" w:rsidRPr="006E6196" w:rsidRDefault="006E6196" w:rsidP="006E6196">
                        <w:pPr>
                          <w:spacing w:line="240" w:lineRule="auto"/>
                          <w:ind w:firstLine="0"/>
                          <w:jc w:val="center"/>
                          <w:rPr>
                            <w:b/>
                            <w:bCs/>
                            <w:sz w:val="20"/>
                            <w:szCs w:val="20"/>
                          </w:rPr>
                        </w:pPr>
                        <w:r w:rsidRPr="006E6196">
                          <w:rPr>
                            <w:b/>
                            <w:bCs/>
                            <w:sz w:val="20"/>
                            <w:szCs w:val="20"/>
                          </w:rPr>
                          <w:t>Chính sách phát triển xanh của Chính phủ</w:t>
                        </w:r>
                      </w:p>
                    </w:txbxContent>
                  </v:textbox>
                </v:rect>
                <v:shape id="Straight Arrow Connector 4" o:spid="_x0000_s1031" type="#_x0000_t32" style="position:absolute;left:33528;top:9525;width:0;height: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" filled="t" fillcolor="window" strokecolor="windowText" strokeweight="1pt">
                  <v:stroke endarrow="block" joinstyle="miter"/>
                </v:shape>
                <v:rect id="Rectangle 2" o:spid="_x0000_s1032" style="position:absolute;left:22446;top:17046;width:2106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" filled="f" stroked="f" strokeweight="1pt">
                  <v:textbox>
                    <w:txbxContent>
                      <w:p w14:paraId="749B5BF7" w14:textId="77777777" w:rsidR="006E6196" w:rsidRPr="006E6196" w:rsidRDefault="006E6196" w:rsidP="006E6196">
                        <w:pPr>
                          <w:spacing w:line="240" w:lineRule="auto"/>
                          <w:ind w:firstLine="0"/>
                          <w:rPr>
                            <w:sz w:val="20"/>
                            <w:szCs w:val="20"/>
                          </w:rPr>
                        </w:pPr>
                        <w:r w:rsidRPr="006E6196">
                          <w:rPr>
                            <w:sz w:val="20"/>
                            <w:szCs w:val="20"/>
                          </w:rPr>
                          <w:t>H1, H2, H3, H4, H5, H6</w:t>
                        </w:r>
                      </w:p>
                    </w:txbxContent>
                  </v:textbox>
                </v:rect>
                <v:rect id="Rectangle 2" o:spid="_x0000_s1033" style="position:absolute;left:32882;top:11048;width:50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" filled="f" stroked="f" strokeweight="1pt">
                  <v:textbox>
                    <w:txbxContent>
                      <w:p w14:paraId="0EAF244C" w14:textId="77777777" w:rsidR="006E6196" w:rsidRPr="006E6196" w:rsidRDefault="006E6196" w:rsidP="006E6196">
                        <w:pPr>
                          <w:ind w:firstLine="0"/>
                          <w:jc w:val="center"/>
                          <w:rPr>
                            <w:sz w:val="20"/>
                            <w:szCs w:val="20"/>
                          </w:rPr>
                        </w:pPr>
                        <w:r w:rsidRPr="006E6196">
                          <w:rPr>
                            <w:sz w:val="20"/>
                            <w:szCs w:val="20"/>
                          </w:rPr>
                          <w:t>H7</w:t>
                        </w:r>
                      </w:p>
                    </w:txbxContent>
                  </v:textbox>
                </v:rect>
                <w10:anchorlock/>
              </v:group>
            </w:pict>
          </mc:Fallback>
        </mc:AlternateContent>
      </w:r>
    </w:p>
    <w:p w14:paraId="614814B6" w14:textId="77777777" w:rsidR="006E6196" w:rsidRPr="006E052C" w:rsidRDefault="006E6196" w:rsidP="006E052C">
      <w:pPr>
        <w:spacing w:line="312" w:lineRule="auto"/>
        <w:jc w:val="center"/>
        <w:rPr>
          <w:b/>
          <w:bCs/>
          <w:i/>
          <w:iCs/>
          <w:lang w:val="vi-VN"/>
        </w:rPr>
      </w:pPr>
      <w:bookmarkStart w:id="4" w:name="_Toc199145375"/>
      <w:bookmarkStart w:id="5" w:name="_Toc215835726"/>
      <w:r w:rsidRPr="006E052C">
        <w:rPr>
          <w:b/>
          <w:bCs/>
          <w:i/>
          <w:iCs/>
          <w:lang w:val="vi-VN"/>
        </w:rPr>
        <w:t>Hình 2.5: Mô hình nghiên cứu lý thuyết</w:t>
      </w:r>
      <w:bookmarkEnd w:id="4"/>
      <w:r w:rsidRPr="006E052C">
        <w:rPr>
          <w:b/>
          <w:bCs/>
          <w:i/>
          <w:iCs/>
          <w:lang w:val="vi-VN"/>
        </w:rPr>
        <w:t xml:space="preserve"> đề xuất</w:t>
      </w:r>
      <w:bookmarkEnd w:id="5"/>
    </w:p>
    <w:p w14:paraId="3F154CB5" w14:textId="77777777" w:rsidR="006029CB" w:rsidRPr="006E052C" w:rsidRDefault="006029CB" w:rsidP="006E052C">
      <w:pPr>
        <w:spacing w:line="312" w:lineRule="auto"/>
        <w:rPr>
          <w:lang w:val="vi"/>
        </w:rPr>
      </w:pPr>
      <w:r w:rsidRPr="006E052C">
        <w:rPr>
          <w:lang w:val="vi"/>
        </w:rPr>
        <w:t xml:space="preserve">Giả thuyết H1: </w:t>
      </w:r>
      <w:r w:rsidRPr="006E052C">
        <w:rPr>
          <w:i/>
          <w:iCs/>
          <w:lang w:val="vi"/>
        </w:rPr>
        <w:t>Hành vi đầu tư đổi mới sáng tạo xanh của doanh nghiệp FDI có tác động tích cực đến kết quả hoạt động của doanh nghiệp FDI.</w:t>
      </w:r>
    </w:p>
    <w:p w14:paraId="2F2C978B" w14:textId="77777777" w:rsidR="006029CB" w:rsidRPr="006E052C" w:rsidRDefault="006029CB" w:rsidP="006E052C">
      <w:pPr>
        <w:spacing w:line="312" w:lineRule="auto"/>
        <w:rPr>
          <w:lang w:val="vi"/>
        </w:rPr>
      </w:pPr>
      <w:r w:rsidRPr="006E052C">
        <w:rPr>
          <w:lang w:val="vi"/>
        </w:rPr>
        <w:t xml:space="preserve">Giả thuyết H2: </w:t>
      </w:r>
      <w:r w:rsidRPr="006E052C">
        <w:rPr>
          <w:i/>
          <w:iCs/>
          <w:lang w:val="vi"/>
        </w:rPr>
        <w:t>Hành vi đầu tư phát triển năng lực xanh của doanh nghiệp FDI có tác động tích cực đến kết quả hoạt động của doanh nghiệp FDI.</w:t>
      </w:r>
    </w:p>
    <w:p w14:paraId="5CBE7687" w14:textId="77777777" w:rsidR="006029CB" w:rsidRPr="006E052C" w:rsidRDefault="006029CB" w:rsidP="006E052C">
      <w:pPr>
        <w:spacing w:line="312" w:lineRule="auto"/>
        <w:rPr>
          <w:lang w:val="vi"/>
        </w:rPr>
      </w:pPr>
      <w:r w:rsidRPr="006E052C">
        <w:rPr>
          <w:lang w:val="vi"/>
        </w:rPr>
        <w:t xml:space="preserve">Giả thuyết H3: </w:t>
      </w:r>
      <w:r w:rsidRPr="006E052C">
        <w:rPr>
          <w:i/>
          <w:iCs/>
          <w:lang w:val="vi"/>
        </w:rPr>
        <w:t>Hành vi đầu tư thực hành quản trị nhân sự xanh của doanh nghiệp FDI có tác động tích cực đến kết quả hoạt động của doanh nghiệp FDI.</w:t>
      </w:r>
    </w:p>
    <w:p w14:paraId="11D5FA61" w14:textId="77777777" w:rsidR="006029CB" w:rsidRPr="006E052C" w:rsidRDefault="006029CB" w:rsidP="006E052C">
      <w:pPr>
        <w:spacing w:line="312" w:lineRule="auto"/>
        <w:rPr>
          <w:lang w:val="vi"/>
        </w:rPr>
      </w:pPr>
      <w:r w:rsidRPr="006E052C">
        <w:rPr>
          <w:lang w:val="vi"/>
        </w:rPr>
        <w:t xml:space="preserve">Giả thuyết H4: </w:t>
      </w:r>
      <w:r w:rsidRPr="006E052C">
        <w:rPr>
          <w:i/>
          <w:iCs/>
          <w:lang w:val="vi"/>
        </w:rPr>
        <w:t>Hành vi đầu tư thực hành quản trị chuỗi cung ứng xanh của các doanh nghiệp FDI có tác động tích cực đến kết quả hoạt động của doanh nghiệp.</w:t>
      </w:r>
    </w:p>
    <w:p w14:paraId="58F30CD7" w14:textId="77777777" w:rsidR="006029CB" w:rsidRPr="006E052C" w:rsidRDefault="006029CB" w:rsidP="006E052C">
      <w:pPr>
        <w:spacing w:line="312" w:lineRule="auto"/>
        <w:rPr>
          <w:lang w:val="vi"/>
        </w:rPr>
      </w:pPr>
      <w:r w:rsidRPr="006E052C">
        <w:rPr>
          <w:lang w:val="vi"/>
        </w:rPr>
        <w:t xml:space="preserve">Giả thuyết H5: </w:t>
      </w:r>
      <w:r w:rsidRPr="006E052C">
        <w:rPr>
          <w:i/>
          <w:iCs/>
          <w:lang w:val="vi"/>
        </w:rPr>
        <w:t>Hành vi đầu tư thực hành trách nhiệm xã hội với cộng đồng của các doanh nghiệp FDI có tác động tích cực đến kết quả hoạt động của doanh nghiệp.</w:t>
      </w:r>
    </w:p>
    <w:p w14:paraId="7F407762" w14:textId="77777777" w:rsidR="006029CB" w:rsidRPr="006E052C" w:rsidRDefault="006029CB" w:rsidP="006E052C">
      <w:pPr>
        <w:spacing w:line="312" w:lineRule="auto"/>
        <w:rPr>
          <w:lang w:val="vi"/>
        </w:rPr>
      </w:pPr>
      <w:r w:rsidRPr="006E052C">
        <w:rPr>
          <w:lang w:val="vi"/>
        </w:rPr>
        <w:lastRenderedPageBreak/>
        <w:t xml:space="preserve">Giả thuyết H6: </w:t>
      </w:r>
      <w:r w:rsidRPr="006E052C">
        <w:rPr>
          <w:i/>
          <w:iCs/>
          <w:lang w:val="vi"/>
        </w:rPr>
        <w:t>Hành vi đầu tư thực hành trách nhiệm xã hội với môi trường của các doanh nghiệp FDI có tác động tích cực đến kết quả hoạt động của doanh nghiệp.</w:t>
      </w:r>
    </w:p>
    <w:p w14:paraId="6730DE4A" w14:textId="77777777" w:rsidR="006029CB" w:rsidRPr="006E052C" w:rsidRDefault="006029CB" w:rsidP="006E052C">
      <w:pPr>
        <w:spacing w:line="312" w:lineRule="auto"/>
        <w:rPr>
          <w:lang w:val="vi"/>
        </w:rPr>
      </w:pPr>
      <w:r w:rsidRPr="006E052C">
        <w:rPr>
          <w:lang w:val="vi"/>
        </w:rPr>
        <w:t xml:space="preserve">Giả thuyết H7: </w:t>
      </w:r>
      <w:r w:rsidRPr="006E052C">
        <w:rPr>
          <w:i/>
          <w:iCs/>
          <w:lang w:val="vi"/>
        </w:rPr>
        <w:t>Chính sách phát triển xanh của Chính phủ có vai trò điều tiết tác động của hành vi đầu tư xanh của doanh nghiệp FDI và kết quả hoạt động của doanh nghiệp.</w:t>
      </w:r>
    </w:p>
    <w:p w14:paraId="5CB0C493" w14:textId="406A0C5B" w:rsidR="005C5B25" w:rsidRPr="006E052C" w:rsidRDefault="005C5B25" w:rsidP="006E052C">
      <w:pPr>
        <w:spacing w:line="312" w:lineRule="auto"/>
        <w:ind w:firstLine="0"/>
        <w:rPr>
          <w:b/>
          <w:bCs/>
          <w:i/>
          <w:iCs/>
          <w:lang w:val="vi-VN"/>
        </w:rPr>
      </w:pPr>
      <w:r w:rsidRPr="006E052C">
        <w:rPr>
          <w:b/>
          <w:bCs/>
          <w:i/>
          <w:iCs/>
          <w:lang w:val="vi-VN"/>
        </w:rPr>
        <w:t>2.3.3. Phát triển bộ thang đo nghiên cứu</w:t>
      </w:r>
    </w:p>
    <w:p w14:paraId="3C996C69" w14:textId="6360FC4C" w:rsidR="006E6196" w:rsidRPr="006E052C" w:rsidRDefault="005C5B25" w:rsidP="006E052C">
      <w:pPr>
        <w:spacing w:line="312" w:lineRule="auto"/>
        <w:rPr>
          <w:lang w:val="vi-VN"/>
        </w:rPr>
      </w:pPr>
      <w:r w:rsidRPr="006E052C">
        <w:rPr>
          <w:lang w:val="vi-VN"/>
        </w:rPr>
        <w:t>Trên cơ sở tổng hợp các công trình nghiên cứu trước đó về chủ đề, luận án xây dựng bộ thang đo gồm 26 biến quan sát của 6 biến độc lập tương ứng với các hành vi đầu tư xanh của doanh nghiệp FDI, 4 biến quan sát của biến điều tiết chính sách phát triển xanh của chính phủ và 5 biến quan sát của biến phụ thuộc kết quả hoạt động của doanh nghiệp FDI.</w:t>
      </w:r>
    </w:p>
    <w:p w14:paraId="1B093389" w14:textId="77777777" w:rsidR="009A156A" w:rsidRPr="006E052C" w:rsidRDefault="009A156A" w:rsidP="006E052C">
      <w:pPr>
        <w:pStyle w:val="Heading2"/>
        <w:spacing w:line="312" w:lineRule="auto"/>
      </w:pPr>
      <w:r w:rsidRPr="006E052C">
        <w:t>2.4. Kinh nghiệm về hành vi đầu tư xanh của một số doanh nghiệp FDI trên thế giới và bài học rút ra cho các doanh nghiệp FDI tại Việt Nam</w:t>
      </w:r>
    </w:p>
    <w:p w14:paraId="196001DF" w14:textId="7A1CB667" w:rsidR="006E6196" w:rsidRPr="006E052C" w:rsidRDefault="009A156A" w:rsidP="006E052C">
      <w:pPr>
        <w:pStyle w:val="Heading3"/>
        <w:spacing w:line="312" w:lineRule="auto"/>
      </w:pPr>
      <w:r w:rsidRPr="006E052C">
        <w:t xml:space="preserve">2.4.1. Kinh nghiệm hành vi đầu tư xanh của một số </w:t>
      </w:r>
      <w:r w:rsidR="00335D78" w:rsidRPr="006E052C">
        <w:t>DN</w:t>
      </w:r>
      <w:r w:rsidRPr="006E052C">
        <w:t xml:space="preserve"> FDI</w:t>
      </w:r>
    </w:p>
    <w:p w14:paraId="466DA119" w14:textId="363B6A1E" w:rsidR="009A156A" w:rsidRPr="006E052C" w:rsidRDefault="009A156A" w:rsidP="006E052C">
      <w:pPr>
        <w:spacing w:line="312" w:lineRule="auto"/>
        <w:rPr>
          <w:lang w:val="vi"/>
        </w:rPr>
      </w:pPr>
      <w:r w:rsidRPr="006E052C">
        <w:rPr>
          <w:lang w:val="vi"/>
        </w:rPr>
        <w:t>Luận án phân tích kinh nghiệm các doanh nghiệp PT. Sorik Marapi Geothermal (PT. SMGP) tại Indonesia, doanh nghiệp BSH Bosch and Siemens Hausgeräte GmbH (BSH) tại Trung Quốc, doanh nghiệp Ankleshwar tại Ấn Độ, và liên doanh Burgmann Malaysia Sdn Bhd tại Malaysia</w:t>
      </w:r>
    </w:p>
    <w:p w14:paraId="482172E0" w14:textId="76CA14A5" w:rsidR="009A156A" w:rsidRPr="006E052C" w:rsidRDefault="009A156A" w:rsidP="006E052C">
      <w:pPr>
        <w:pStyle w:val="Heading3"/>
        <w:spacing w:line="312" w:lineRule="auto"/>
      </w:pPr>
      <w:r w:rsidRPr="006E052C">
        <w:t>2.4.2. Các bài học rút ra cho các doanh nghiệp FDI tại Việt Nam</w:t>
      </w:r>
    </w:p>
    <w:p w14:paraId="633530C2" w14:textId="2110A77A" w:rsidR="006E6196" w:rsidRPr="006E052C" w:rsidRDefault="006029CB" w:rsidP="006E052C">
      <w:pPr>
        <w:spacing w:line="312" w:lineRule="auto"/>
        <w:rPr>
          <w:lang w:val="vi"/>
        </w:rPr>
      </w:pPr>
      <w:r w:rsidRPr="006E052C">
        <w:rPr>
          <w:lang w:val="vi"/>
        </w:rPr>
        <w:t>Các doanh nghiệp FDI Việt Nam cần: đánh giá môi trường kinh tế, xã hội và chính trị, tận dụng chính sách thu hút FDI xanh; tuân thủ pháp luật và quy định bảo vệ môi trường quốc tế và địa phương; ưu tiên đối tác, nhà cung cấp đáp ứng tiêu chí môi trường; đầu tư vào R&amp;D; thành lập ban kiểm soát nội bộ giám sát chất lượng và môi trường; chú trọng đào tạo nguồn nhân lực về tiêu chuẩn xanh; và xây dựng kênh phân phối, quảng bá sản phẩm, dịch vụ thân thiện với môi trường.</w:t>
      </w:r>
    </w:p>
    <w:p w14:paraId="309E30FE" w14:textId="77777777" w:rsidR="009A156A" w:rsidRPr="006E052C" w:rsidRDefault="009A156A" w:rsidP="006E052C">
      <w:pPr>
        <w:spacing w:line="312" w:lineRule="auto"/>
        <w:rPr>
          <w:lang w:val="vi"/>
        </w:rPr>
      </w:pPr>
    </w:p>
    <w:p w14:paraId="5168E194" w14:textId="010E568A" w:rsidR="00BE28F3" w:rsidRPr="006E052C" w:rsidRDefault="006E052C" w:rsidP="006E052C">
      <w:pPr>
        <w:pStyle w:val="Heading1"/>
        <w:spacing w:line="312" w:lineRule="auto"/>
      </w:pPr>
      <w:r w:rsidRPr="006E052C">
        <w:br w:type="column"/>
      </w:r>
      <w:r w:rsidR="00BE28F3" w:rsidRPr="006E052C">
        <w:lastRenderedPageBreak/>
        <w:t>CHƯƠNG 3</w:t>
      </w:r>
      <w:r w:rsidR="00443E5D" w:rsidRPr="006E052C">
        <w:t xml:space="preserve">: THỰC TRẠNG HÀNH VI ĐẦU TƯ XANH CỦA CÁC DOANH NGHIỆP FDI TRÊN ĐỊA BÀN </w:t>
      </w:r>
      <w:r w:rsidR="007D3B3A" w:rsidRPr="006E052C">
        <w:t>TP. HÀ NỘI</w:t>
      </w:r>
    </w:p>
    <w:p w14:paraId="0C079FDB" w14:textId="28E4C797" w:rsidR="00443E5D" w:rsidRPr="006E052C" w:rsidRDefault="00443E5D" w:rsidP="006E052C">
      <w:pPr>
        <w:pStyle w:val="Heading2"/>
        <w:spacing w:line="312" w:lineRule="auto"/>
      </w:pPr>
      <w:r w:rsidRPr="006E052C">
        <w:t xml:space="preserve">3.1. Khái quát về </w:t>
      </w:r>
      <w:r w:rsidR="007D3B3A" w:rsidRPr="006E052C">
        <w:t>TP. Hà Nội</w:t>
      </w:r>
      <w:r w:rsidRPr="006E052C">
        <w:t xml:space="preserve"> và tình hình đầu tư nước ngoài trên địa bàn </w:t>
      </w:r>
      <w:r w:rsidR="007D3B3A" w:rsidRPr="006E052C">
        <w:t>TP. Hà Nội</w:t>
      </w:r>
    </w:p>
    <w:p w14:paraId="3CEA37A8" w14:textId="35BDBA54" w:rsidR="00443E5D" w:rsidRPr="006E052C" w:rsidRDefault="00443E5D" w:rsidP="006E052C">
      <w:pPr>
        <w:pStyle w:val="Heading2"/>
        <w:spacing w:line="312" w:lineRule="auto"/>
        <w:rPr>
          <w:i/>
          <w:iCs/>
        </w:rPr>
      </w:pPr>
      <w:r w:rsidRPr="006E052C">
        <w:rPr>
          <w:i/>
          <w:iCs/>
        </w:rPr>
        <w:t xml:space="preserve">3.1.1. Tình hình phát triển kinh tế - xã hội của </w:t>
      </w:r>
      <w:r w:rsidR="007D3B3A" w:rsidRPr="006E052C">
        <w:rPr>
          <w:i/>
          <w:iCs/>
        </w:rPr>
        <w:t>TP. Hà Nội</w:t>
      </w:r>
    </w:p>
    <w:p w14:paraId="2FE37B10" w14:textId="77777777" w:rsidR="007D3B3A" w:rsidRPr="006E052C" w:rsidRDefault="007D3B3A" w:rsidP="006E052C">
      <w:pPr>
        <w:spacing w:line="312" w:lineRule="auto"/>
        <w:rPr>
          <w:lang w:val="vi"/>
        </w:rPr>
      </w:pPr>
      <w:r w:rsidRPr="006E052C">
        <w:rPr>
          <w:lang w:val="vi"/>
        </w:rPr>
        <w:t>Hà Nội, với vai trò trung tâm chính trị, kinh tế và văn hóa, dẫn dắt vùng kinh tế Bắc Bộ với dân số 8,72 triệu và vốn FDI lũy kế trên 43 tỷ USD. Kinh tế thành phố ổn định, GRDP 2024 tăng 6,52%, chiếm hơn 12% quy mô cả nước. Nguồn nhân lực chất lượng cao và thị trường năng động củng cố sức hấp dẫn của Hà Nội đối với FDI và nghiên cứu phát triển bền vững.</w:t>
      </w:r>
    </w:p>
    <w:p w14:paraId="17F07B05" w14:textId="44F366B6" w:rsidR="00443E5D" w:rsidRPr="006E052C" w:rsidRDefault="00443E5D" w:rsidP="006E052C">
      <w:pPr>
        <w:pStyle w:val="Heading3"/>
        <w:spacing w:line="312" w:lineRule="auto"/>
      </w:pPr>
      <w:r w:rsidRPr="006E052C">
        <w:t xml:space="preserve">3.1.2. Tình hình đầu tư nước ngoài trên địa bàn </w:t>
      </w:r>
      <w:r w:rsidR="007D3B3A" w:rsidRPr="006E052C">
        <w:t>TP. Hà Nội</w:t>
      </w:r>
      <w:r w:rsidRPr="006E052C">
        <w:t xml:space="preserve"> </w:t>
      </w:r>
    </w:p>
    <w:p w14:paraId="10B15AD1" w14:textId="77777777" w:rsidR="00D82AD5" w:rsidRPr="006E052C" w:rsidRDefault="00D82AD5" w:rsidP="006E052C">
      <w:pPr>
        <w:spacing w:line="312" w:lineRule="auto"/>
        <w:rPr>
          <w:lang w:val="vi"/>
        </w:rPr>
      </w:pPr>
      <w:r w:rsidRPr="006E052C">
        <w:rPr>
          <w:lang w:val="vi"/>
        </w:rPr>
        <w:t>Vốn FDI giữ vai trò quan trọng đối với phát triển kinh tế – xã hội của Việt Nam và đặc biệt là Hà Nội. Từ khi mở cửa, Hà Nội luôn dẫn đầu thu hút FDI; giai đoạn 2010–2024 ghi nhận sự gia tăng mạnh các dự án FDI còn hoạt động, góp phần thúc đẩy tăng trưởng, chuyển dịch cơ cấu kinh tế và nâng cao năng suất lao động, bất chấp biến động kinh tế toàn cầu.</w:t>
      </w:r>
    </w:p>
    <w:p w14:paraId="7BDA02C0" w14:textId="371BD2F7" w:rsidR="00D82AD5" w:rsidRPr="006E052C" w:rsidRDefault="00D82AD5" w:rsidP="006E052C">
      <w:pPr>
        <w:spacing w:line="312" w:lineRule="auto"/>
        <w:rPr>
          <w:lang w:val="vi"/>
        </w:rPr>
      </w:pPr>
      <w:r w:rsidRPr="006E052C">
        <w:rPr>
          <w:lang w:val="vi"/>
        </w:rPr>
        <w:t>FDI tại Hà Nội tập trung ở các quận có hạ tầng phát triển và đầu tư vào nhiều ngành, nổi bật là bất động sản, công nghiệp chế biến – chế tạo và dịch vụ. Các nhà đầu tư chủ yếu đến từ Hàn Quốc, Nhật Bản, Singapore và Trung Quốc; trong đó dự án 100% vốn nước ngoài chiếm đa số về số lượng, còn dự án liên doanh có quy mô vốn lớn, khẳng định vai trò ngày càng quan trọng của FDI đối với phát triển bền vững của Thủ đô.</w:t>
      </w:r>
    </w:p>
    <w:p w14:paraId="21DB8651" w14:textId="5EAACBF3" w:rsidR="00443E5D" w:rsidRPr="006E052C" w:rsidRDefault="00443E5D" w:rsidP="006E052C">
      <w:pPr>
        <w:pStyle w:val="Heading2"/>
        <w:spacing w:line="312" w:lineRule="auto"/>
        <w:rPr>
          <w:i/>
          <w:iCs/>
        </w:rPr>
      </w:pPr>
      <w:r w:rsidRPr="006E052C">
        <w:rPr>
          <w:i/>
          <w:iCs/>
        </w:rPr>
        <w:t xml:space="preserve">3.1.3. Những đóng góp của doanh nghiệp FDI với phát triển bền vững của </w:t>
      </w:r>
      <w:r w:rsidR="007D3B3A" w:rsidRPr="006E052C">
        <w:rPr>
          <w:i/>
          <w:iCs/>
        </w:rPr>
        <w:t>TP. Hà Nội</w:t>
      </w:r>
    </w:p>
    <w:p w14:paraId="33F15CD0" w14:textId="20659DBE" w:rsidR="00443E5D" w:rsidRPr="006E052C" w:rsidRDefault="007D3B3A" w:rsidP="006E052C">
      <w:pPr>
        <w:spacing w:line="312" w:lineRule="auto"/>
        <w:rPr>
          <w:lang w:val="vi"/>
        </w:rPr>
      </w:pPr>
      <w:r w:rsidRPr="006E052C">
        <w:rPr>
          <w:lang w:val="vi"/>
        </w:rPr>
        <w:t xml:space="preserve">Doanh nghiệp FDI tại Hà Nội đóng vai trò quan trọng trong phát triển kinh tế – xã hội, góp trên 10% thu ngân sách, lao động và vốn đầu tư, đồng thời dẫn đầu cả nước về thu hút FDI nhờ môi trường đầu tư thuận lợi và nguồn nhân lực chất lượng cao. Khu vực FDI chiếm 12–15% GRDP, tạo việc làm ổn định, thúc đẩy chuyển giao công nghệ, phát triển các ngành giá trị gia tăng và công nghệ cao gắn với bền vững. Về môi trường, các doanh nghiệp FDI tuân thủ nghiêm luật bảo vệ môi trường, áp dụng công nghệ </w:t>
      </w:r>
      <w:r w:rsidRPr="006E052C">
        <w:rPr>
          <w:lang w:val="vi"/>
        </w:rPr>
        <w:lastRenderedPageBreak/>
        <w:t>sạch, đầu tư xanh và sử dụng năng lượng tái tạo, góp phần giảm phát thải carbon.</w:t>
      </w:r>
    </w:p>
    <w:p w14:paraId="13D20A47" w14:textId="2CB12B74" w:rsidR="00443E5D" w:rsidRPr="006E052C" w:rsidRDefault="00443E5D" w:rsidP="006E052C">
      <w:pPr>
        <w:pStyle w:val="Heading2"/>
        <w:spacing w:line="312" w:lineRule="auto"/>
        <w:rPr>
          <w:i/>
          <w:iCs/>
        </w:rPr>
      </w:pPr>
      <w:r w:rsidRPr="006E052C">
        <w:rPr>
          <w:i/>
          <w:iCs/>
        </w:rPr>
        <w:t xml:space="preserve">3.1.4. Chính sách phát triển xanh của Chính phủ và </w:t>
      </w:r>
      <w:r w:rsidR="007D3B3A" w:rsidRPr="006E052C">
        <w:rPr>
          <w:i/>
          <w:iCs/>
        </w:rPr>
        <w:t>TP. Hà Nội</w:t>
      </w:r>
    </w:p>
    <w:p w14:paraId="7B8BBFA1" w14:textId="77777777" w:rsidR="007D3B3A" w:rsidRPr="006E052C" w:rsidRDefault="007D3B3A" w:rsidP="006E052C">
      <w:pPr>
        <w:spacing w:line="312" w:lineRule="auto"/>
        <w:rPr>
          <w:lang w:val="vi"/>
        </w:rPr>
      </w:pPr>
      <w:r w:rsidRPr="006E052C">
        <w:rPr>
          <w:lang w:val="vi"/>
        </w:rPr>
        <w:t>Trong những năm gần đây, Chính phủ Việt Nam và TP. Hà Nội đã triển khai nhiều chính sách phát triển xanh để khuyến khích doanh nghiệp, đặc biệt là FDI, hướng tới phát triển bền vững, tập trung hạn chế phát thải, thúc đẩy công nghệ xanh, tiết kiệm năng lượng và bảo vệ môi trường, phù hợp với cam kết phát thải ròng bằng 0 vào 2050. Việt Nam đã xây dựng khung chiến lược và pháp lý tương đối đồng bộ, trong khi Hà Nội thực hiện các sáng kiến như vùng phát thải thấp, cải thiện không khí và phát triển nông nghiệp xanh, thể hiện vai trò tiên phong trong phát triển bền vững. Các chính sách trợ cấp R&amp;D và khuyến khích sử dụng năng lượng hiệu quả cũng được hoàn thiện, nhưng doanh nghiệp FDI tham gia còn hạn chế do khó tiếp cận ưu đãi tài chính và thủ tục phức tạp.</w:t>
      </w:r>
    </w:p>
    <w:p w14:paraId="4B56735B" w14:textId="05C60F97" w:rsidR="006A632B" w:rsidRPr="006E052C" w:rsidRDefault="006A632B" w:rsidP="006E052C">
      <w:pPr>
        <w:pStyle w:val="Heading2"/>
        <w:spacing w:line="312" w:lineRule="auto"/>
      </w:pPr>
      <w:r w:rsidRPr="006E052C">
        <w:t xml:space="preserve">3.2. Nghiên cứu định lượng tác động của hành vi đầu tư xanh đến kết quả hoạt động của các </w:t>
      </w:r>
      <w:r w:rsidR="007D3B3A" w:rsidRPr="006E052C">
        <w:t xml:space="preserve">DN </w:t>
      </w:r>
      <w:r w:rsidRPr="006E052C">
        <w:t xml:space="preserve">FDI trên địa bàn </w:t>
      </w:r>
      <w:r w:rsidR="007D3B3A" w:rsidRPr="006E052C">
        <w:t>TP. Hà Nội</w:t>
      </w:r>
    </w:p>
    <w:p w14:paraId="21996FC7" w14:textId="77777777" w:rsidR="006A632B" w:rsidRPr="006E052C" w:rsidRDefault="006A632B" w:rsidP="006E052C">
      <w:pPr>
        <w:pStyle w:val="Heading3"/>
        <w:spacing w:line="312" w:lineRule="auto"/>
      </w:pPr>
      <w:r w:rsidRPr="006E052C">
        <w:t>3.2.1. Thiết kế nghiên cứu và mẫu nghiên cứu</w:t>
      </w:r>
    </w:p>
    <w:p w14:paraId="73F6C6D1" w14:textId="07A6B61F" w:rsidR="006A632B" w:rsidRPr="006E052C" w:rsidRDefault="006A632B" w:rsidP="006E052C">
      <w:pPr>
        <w:spacing w:line="312" w:lineRule="auto"/>
        <w:rPr>
          <w:lang w:val="vi"/>
        </w:rPr>
      </w:pPr>
      <w:r w:rsidRPr="006E052C">
        <w:rPr>
          <w:lang w:val="vi"/>
        </w:rPr>
        <w:t xml:space="preserve">Trong nghiên cứu này, phương pháp định lượng được sử dụng. thông qua khảo sát điều trả bảng hỏi, thu được mẫu 189 doanh nghiệp FDI trên địa bàn </w:t>
      </w:r>
      <w:r w:rsidR="007D3B3A" w:rsidRPr="006E052C">
        <w:rPr>
          <w:lang w:val="vi"/>
        </w:rPr>
        <w:t>TP. Hà Nội</w:t>
      </w:r>
      <w:r w:rsidRPr="006E052C">
        <w:rPr>
          <w:lang w:val="vi"/>
        </w:rPr>
        <w:t>.</w:t>
      </w:r>
      <w:r w:rsidR="00335D78" w:rsidRPr="006E052C">
        <w:rPr>
          <w:lang w:val="vi"/>
        </w:rPr>
        <w:t xml:space="preserve"> </w:t>
      </w:r>
    </w:p>
    <w:p w14:paraId="6E4B0386" w14:textId="39E4699B" w:rsidR="006A632B" w:rsidRPr="006E052C" w:rsidRDefault="006A632B" w:rsidP="006E052C">
      <w:pPr>
        <w:tabs>
          <w:tab w:val="left" w:pos="993"/>
        </w:tabs>
        <w:spacing w:line="312" w:lineRule="auto"/>
        <w:ind w:firstLine="567"/>
        <w:rPr>
          <w:lang w:val="vi-VN"/>
        </w:rPr>
      </w:pPr>
      <w:r w:rsidRPr="006E052C">
        <w:rPr>
          <w:lang w:val="vi-VN"/>
        </w:rPr>
        <w:t>Phương trình hồi quy được thiết lập như sau:</w:t>
      </w:r>
    </w:p>
    <w:p w14:paraId="4ED326B6" w14:textId="4B69798E" w:rsidR="006A632B" w:rsidRPr="006E052C" w:rsidRDefault="006A632B" w:rsidP="006E052C">
      <w:pPr>
        <w:tabs>
          <w:tab w:val="left" w:pos="993"/>
        </w:tabs>
        <w:spacing w:line="312" w:lineRule="auto"/>
        <w:ind w:firstLine="0"/>
        <w:jc w:val="center"/>
        <w:rPr>
          <w:lang w:val="vi-VN"/>
        </w:rPr>
      </w:pPr>
      <w:r w:rsidRPr="006E052C">
        <w:rPr>
          <w:lang w:val="vi-VN"/>
        </w:rPr>
        <w:t>Y = a</w:t>
      </w:r>
      <w:r w:rsidRPr="006E052C">
        <w:rPr>
          <w:vertAlign w:val="subscript"/>
          <w:lang w:val="vi-VN"/>
        </w:rPr>
        <w:t>0</w:t>
      </w:r>
      <w:r w:rsidRPr="006E052C">
        <w:rPr>
          <w:lang w:val="vi-VN"/>
        </w:rPr>
        <w:t xml:space="preserve"> + a</w:t>
      </w:r>
      <w:r w:rsidRPr="006E052C">
        <w:rPr>
          <w:vertAlign w:val="subscript"/>
          <w:lang w:val="vi-VN"/>
        </w:rPr>
        <w:t>1</w:t>
      </w:r>
      <w:r w:rsidRPr="006E052C">
        <w:rPr>
          <w:lang w:val="vi-VN"/>
        </w:rPr>
        <w:t>*X1 + a</w:t>
      </w:r>
      <w:r w:rsidRPr="006E052C">
        <w:rPr>
          <w:vertAlign w:val="subscript"/>
          <w:lang w:val="vi-VN"/>
        </w:rPr>
        <w:t>2</w:t>
      </w:r>
      <w:r w:rsidRPr="006E052C">
        <w:rPr>
          <w:lang w:val="vi-VN"/>
        </w:rPr>
        <w:t>*X2 + a</w:t>
      </w:r>
      <w:r w:rsidRPr="006E052C">
        <w:rPr>
          <w:vertAlign w:val="subscript"/>
          <w:lang w:val="vi-VN"/>
        </w:rPr>
        <w:t>3</w:t>
      </w:r>
      <w:r w:rsidRPr="006E052C">
        <w:rPr>
          <w:lang w:val="vi-VN"/>
        </w:rPr>
        <w:t>*X3 + a</w:t>
      </w:r>
      <w:r w:rsidRPr="006E052C">
        <w:rPr>
          <w:vertAlign w:val="subscript"/>
          <w:lang w:val="vi-VN"/>
        </w:rPr>
        <w:t>4</w:t>
      </w:r>
      <w:r w:rsidRPr="006E052C">
        <w:rPr>
          <w:lang w:val="vi-VN"/>
        </w:rPr>
        <w:t>*X4 + a</w:t>
      </w:r>
      <w:r w:rsidRPr="006E052C">
        <w:rPr>
          <w:vertAlign w:val="subscript"/>
          <w:lang w:val="vi-VN"/>
        </w:rPr>
        <w:t>5</w:t>
      </w:r>
      <w:r w:rsidRPr="006E052C">
        <w:rPr>
          <w:lang w:val="vi-VN"/>
        </w:rPr>
        <w:t>*X5 + a</w:t>
      </w:r>
      <w:r w:rsidRPr="006E052C">
        <w:rPr>
          <w:vertAlign w:val="subscript"/>
          <w:lang w:val="vi-VN"/>
        </w:rPr>
        <w:t>6</w:t>
      </w:r>
      <w:r w:rsidRPr="006E052C">
        <w:rPr>
          <w:lang w:val="vi-VN"/>
        </w:rPr>
        <w:t>*X6 +</w:t>
      </w:r>
      <w:r w:rsidRPr="006E052C">
        <w:t xml:space="preserve"> </w:t>
      </w:r>
      <w:r w:rsidRPr="006E052C">
        <w:rPr>
          <w:lang w:val="vi-VN"/>
        </w:rPr>
        <w:t>a</w:t>
      </w:r>
      <w:r w:rsidRPr="006E052C">
        <w:rPr>
          <w:vertAlign w:val="subscript"/>
          <w:lang w:val="vi-VN"/>
        </w:rPr>
        <w:t>7</w:t>
      </w:r>
      <w:r w:rsidRPr="006E052C">
        <w:rPr>
          <w:lang w:val="vi-VN"/>
        </w:rPr>
        <w:t>*M</w:t>
      </w:r>
      <w:r w:rsidRPr="006E052C">
        <w:t xml:space="preserve"> </w:t>
      </w:r>
      <w:r w:rsidRPr="006E052C">
        <w:rPr>
          <w:lang w:val="vi-VN"/>
        </w:rPr>
        <w:t>+ a</w:t>
      </w:r>
      <w:r w:rsidRPr="006E052C">
        <w:rPr>
          <w:vertAlign w:val="subscript"/>
          <w:lang w:val="vi-VN"/>
        </w:rPr>
        <w:t>8</w:t>
      </w:r>
      <w:r w:rsidRPr="006E052C">
        <w:rPr>
          <w:lang w:val="vi-VN"/>
        </w:rPr>
        <w:t>*X1*M + a</w:t>
      </w:r>
      <w:r w:rsidRPr="006E052C">
        <w:rPr>
          <w:vertAlign w:val="subscript"/>
          <w:lang w:val="vi-VN"/>
        </w:rPr>
        <w:t>9</w:t>
      </w:r>
      <w:r w:rsidRPr="006E052C">
        <w:rPr>
          <w:lang w:val="vi-VN"/>
        </w:rPr>
        <w:t>* X2*M + a</w:t>
      </w:r>
      <w:r w:rsidRPr="006E052C">
        <w:rPr>
          <w:vertAlign w:val="subscript"/>
          <w:lang w:val="vi-VN"/>
        </w:rPr>
        <w:t>10</w:t>
      </w:r>
      <w:r w:rsidRPr="006E052C">
        <w:rPr>
          <w:lang w:val="vi-VN"/>
        </w:rPr>
        <w:t>*X3*M + a</w:t>
      </w:r>
      <w:r w:rsidRPr="006E052C">
        <w:rPr>
          <w:vertAlign w:val="subscript"/>
          <w:lang w:val="vi-VN"/>
        </w:rPr>
        <w:t>11</w:t>
      </w:r>
      <w:r w:rsidRPr="006E052C">
        <w:rPr>
          <w:lang w:val="vi-VN"/>
        </w:rPr>
        <w:t>*X4*M + a</w:t>
      </w:r>
      <w:r w:rsidRPr="006E052C">
        <w:rPr>
          <w:vertAlign w:val="subscript"/>
          <w:lang w:val="vi-VN"/>
        </w:rPr>
        <w:t>12</w:t>
      </w:r>
      <w:r w:rsidRPr="006E052C">
        <w:rPr>
          <w:lang w:val="vi-VN"/>
        </w:rPr>
        <w:t>*X5*M + a</w:t>
      </w:r>
      <w:r w:rsidRPr="006E052C">
        <w:rPr>
          <w:vertAlign w:val="subscript"/>
          <w:lang w:val="vi-VN"/>
        </w:rPr>
        <w:t>13</w:t>
      </w:r>
      <w:r w:rsidRPr="006E052C">
        <w:rPr>
          <w:lang w:val="vi-VN"/>
        </w:rPr>
        <w:t>*X6*M + ε</w:t>
      </w:r>
    </w:p>
    <w:p w14:paraId="1580F7DA" w14:textId="77777777" w:rsidR="006A632B" w:rsidRPr="006E052C" w:rsidRDefault="006A632B" w:rsidP="006E052C">
      <w:pPr>
        <w:tabs>
          <w:tab w:val="left" w:pos="993"/>
        </w:tabs>
        <w:spacing w:line="312" w:lineRule="auto"/>
        <w:ind w:firstLine="567"/>
        <w:rPr>
          <w:lang w:val="vi-VN"/>
        </w:rPr>
      </w:pPr>
      <w:r w:rsidRPr="006E052C">
        <w:rPr>
          <w:lang w:val="vi-VN"/>
        </w:rPr>
        <w:t>Với:</w:t>
      </w:r>
    </w:p>
    <w:p w14:paraId="0FB1109C" w14:textId="77777777" w:rsidR="006A632B" w:rsidRPr="006E052C" w:rsidRDefault="006A632B" w:rsidP="006E052C">
      <w:pPr>
        <w:tabs>
          <w:tab w:val="left" w:pos="993"/>
        </w:tabs>
        <w:spacing w:line="312" w:lineRule="auto"/>
        <w:ind w:firstLine="567"/>
        <w:rPr>
          <w:lang w:val="vi-VN"/>
        </w:rPr>
      </w:pPr>
      <w:r w:rsidRPr="006E052C">
        <w:rPr>
          <w:lang w:val="vi-VN"/>
        </w:rPr>
        <w:t>Y: Kết quả hoạt động của doanh nghiệp FDI;</w:t>
      </w:r>
    </w:p>
    <w:p w14:paraId="16D6DCCF" w14:textId="77777777" w:rsidR="006A632B" w:rsidRPr="006E052C" w:rsidRDefault="006A632B" w:rsidP="006E052C">
      <w:pPr>
        <w:tabs>
          <w:tab w:val="left" w:pos="993"/>
        </w:tabs>
        <w:spacing w:line="312" w:lineRule="auto"/>
        <w:ind w:firstLine="567"/>
        <w:rPr>
          <w:lang w:val="vi-VN"/>
        </w:rPr>
      </w:pPr>
      <w:r w:rsidRPr="006E052C">
        <w:rPr>
          <w:lang w:val="vi-VN"/>
        </w:rPr>
        <w:t>a</w:t>
      </w:r>
      <w:r w:rsidRPr="006E052C">
        <w:rPr>
          <w:vertAlign w:val="subscript"/>
          <w:lang w:val="vi-VN"/>
        </w:rPr>
        <w:t>0</w:t>
      </w:r>
      <w:r w:rsidRPr="006E052C">
        <w:rPr>
          <w:lang w:val="vi-VN"/>
        </w:rPr>
        <w:t>, a</w:t>
      </w:r>
      <w:r w:rsidRPr="006E052C">
        <w:rPr>
          <w:vertAlign w:val="subscript"/>
          <w:lang w:val="vi-VN"/>
        </w:rPr>
        <w:t>1</w:t>
      </w:r>
      <w:r w:rsidRPr="006E052C">
        <w:rPr>
          <w:lang w:val="vi-VN"/>
        </w:rPr>
        <w:t>, …, a</w:t>
      </w:r>
      <w:r w:rsidRPr="006E052C">
        <w:rPr>
          <w:vertAlign w:val="subscript"/>
          <w:lang w:val="vi-VN"/>
        </w:rPr>
        <w:t>13</w:t>
      </w:r>
      <w:r w:rsidRPr="006E052C">
        <w:rPr>
          <w:lang w:val="vi-VN"/>
        </w:rPr>
        <w:t>: các hệ số cần tìm;</w:t>
      </w:r>
    </w:p>
    <w:p w14:paraId="4BE1A426" w14:textId="2FA6AB92" w:rsidR="006A632B" w:rsidRPr="006E052C" w:rsidRDefault="006A632B" w:rsidP="006E052C">
      <w:pPr>
        <w:tabs>
          <w:tab w:val="left" w:pos="993"/>
        </w:tabs>
        <w:spacing w:line="312" w:lineRule="auto"/>
        <w:ind w:firstLine="567"/>
        <w:rPr>
          <w:lang w:val="vi-VN"/>
        </w:rPr>
      </w:pPr>
      <w:r w:rsidRPr="006E052C">
        <w:rPr>
          <w:lang w:val="vi-VN"/>
        </w:rPr>
        <w:t>X</w:t>
      </w:r>
      <w:r w:rsidRPr="006E052C">
        <w:rPr>
          <w:vertAlign w:val="subscript"/>
          <w:lang w:val="vi-VN"/>
        </w:rPr>
        <w:t>1</w:t>
      </w:r>
      <w:r w:rsidRPr="006E052C">
        <w:rPr>
          <w:lang w:val="vi-VN"/>
        </w:rPr>
        <w:t>, X</w:t>
      </w:r>
      <w:r w:rsidRPr="006E052C">
        <w:rPr>
          <w:vertAlign w:val="subscript"/>
          <w:lang w:val="vi-VN"/>
        </w:rPr>
        <w:t>2</w:t>
      </w:r>
      <w:r w:rsidRPr="006E052C">
        <w:rPr>
          <w:lang w:val="vi-VN"/>
        </w:rPr>
        <w:t>, …, X</w:t>
      </w:r>
      <w:r w:rsidRPr="006E052C">
        <w:rPr>
          <w:vertAlign w:val="subscript"/>
          <w:lang w:val="vi-VN"/>
        </w:rPr>
        <w:t>6</w:t>
      </w:r>
      <w:r w:rsidRPr="006E052C">
        <w:rPr>
          <w:lang w:val="vi-VN"/>
        </w:rPr>
        <w:t xml:space="preserve">: là các hành vi đầu tư xanh của </w:t>
      </w:r>
      <w:r w:rsidR="005F3D69" w:rsidRPr="006E052C">
        <w:rPr>
          <w:lang w:val="vi-VN"/>
        </w:rPr>
        <w:t>DN</w:t>
      </w:r>
      <w:r w:rsidRPr="006E052C">
        <w:rPr>
          <w:lang w:val="vi-VN"/>
        </w:rPr>
        <w:t xml:space="preserve"> FDI;</w:t>
      </w:r>
    </w:p>
    <w:p w14:paraId="2A63336D" w14:textId="77777777" w:rsidR="006A632B" w:rsidRPr="006E052C" w:rsidRDefault="006A632B" w:rsidP="006E052C">
      <w:pPr>
        <w:tabs>
          <w:tab w:val="left" w:pos="993"/>
        </w:tabs>
        <w:spacing w:line="312" w:lineRule="auto"/>
        <w:ind w:firstLine="567"/>
        <w:rPr>
          <w:lang w:val="vi-VN"/>
        </w:rPr>
      </w:pPr>
      <w:r w:rsidRPr="006E052C">
        <w:rPr>
          <w:lang w:val="vi-VN"/>
        </w:rPr>
        <w:t>M: là chính sách phát triển xanh của Chính phủ;</w:t>
      </w:r>
    </w:p>
    <w:p w14:paraId="3AB8AC79" w14:textId="77777777" w:rsidR="006A632B" w:rsidRPr="006E052C" w:rsidRDefault="006A632B" w:rsidP="006E052C">
      <w:pPr>
        <w:tabs>
          <w:tab w:val="left" w:pos="993"/>
        </w:tabs>
        <w:spacing w:line="312" w:lineRule="auto"/>
        <w:ind w:firstLine="567"/>
        <w:rPr>
          <w:lang w:val="vi-VN"/>
        </w:rPr>
      </w:pPr>
      <w:r w:rsidRPr="006E052C">
        <w:rPr>
          <w:lang w:val="vi-VN"/>
        </w:rPr>
        <w:t>ε: sai số chuẩn.</w:t>
      </w:r>
    </w:p>
    <w:p w14:paraId="47593B80" w14:textId="0B9F754E" w:rsidR="006A632B" w:rsidRPr="006E052C" w:rsidRDefault="006A632B" w:rsidP="006E052C">
      <w:pPr>
        <w:pStyle w:val="Heading3"/>
        <w:spacing w:line="312" w:lineRule="auto"/>
        <w:rPr>
          <w:lang w:val="vi-VN"/>
        </w:rPr>
      </w:pPr>
      <w:r w:rsidRPr="006E052C">
        <w:lastRenderedPageBreak/>
        <w:t>3.2.2. Kiểm định thang đo nghiên cứu</w:t>
      </w:r>
    </w:p>
    <w:p w14:paraId="402406D9" w14:textId="1C04B232" w:rsidR="006A632B" w:rsidRPr="006E052C" w:rsidRDefault="006A632B" w:rsidP="006E052C">
      <w:pPr>
        <w:spacing w:line="312" w:lineRule="auto"/>
        <w:rPr>
          <w:lang w:val="vi-VN"/>
        </w:rPr>
      </w:pPr>
      <w:r w:rsidRPr="006E052C">
        <w:rPr>
          <w:spacing w:val="-6"/>
          <w:lang w:val="vi-VN"/>
        </w:rPr>
        <w:t>Kết quả EFA, Cronbach’s Alpha và phân tích tương quan cho thấy mô hình nghiên cứu đáp ứng đầy đủ các yêu cầu thống kê. Cụ thể, EFA xác nhận cấu trúc thang đo phù hợp khi 30 biến quan sát của 6 biến độc lập và 1 biến điều tiết được rút trích thành 7 nhân tố (KMO = 0,814; Sig = 0,000; phương sai lũy kế 74,73%), trong khi biến phụ thuộc hình thành 1 nhân tố với phương sai lũy kế 62,54%. Các thang đo đều có độ tin cậy cao (Cronbach’s Alpha &gt; 0,7), bảo đảm tính nhất quán nội tại. Phân tích tương quan Pearson cho thấy các hệ số tương quan có ý nghĩa thống kê và đều nhỏ hơn 0,7, qua đó khẳng định giá trị phân biệt và loại trừ hiện tượng đa cộng tuyến, tạo cơ sở để tiếp tục kiểm định mô hình và giả thuyết nghiên cứu</w:t>
      </w:r>
      <w:r w:rsidRPr="006E052C">
        <w:rPr>
          <w:lang w:val="vi-VN"/>
        </w:rPr>
        <w:t>.</w:t>
      </w:r>
    </w:p>
    <w:p w14:paraId="450F1E0C" w14:textId="680B0BE6" w:rsidR="006A632B" w:rsidRPr="006E052C" w:rsidRDefault="006A632B" w:rsidP="006E052C">
      <w:pPr>
        <w:pStyle w:val="Heading3"/>
        <w:spacing w:line="312" w:lineRule="auto"/>
      </w:pPr>
      <w:r w:rsidRPr="006E052C">
        <w:t>3.2.3. Kiểm định mô hình và giả thuyết nghiên cứu</w:t>
      </w:r>
    </w:p>
    <w:p w14:paraId="5B1B1D4D" w14:textId="0C3B1E1D" w:rsidR="006A632B" w:rsidRPr="006E052C" w:rsidRDefault="006A632B" w:rsidP="006E052C">
      <w:pPr>
        <w:tabs>
          <w:tab w:val="left" w:pos="993"/>
        </w:tabs>
        <w:spacing w:line="312" w:lineRule="auto"/>
        <w:ind w:firstLine="567"/>
        <w:rPr>
          <w:lang w:val="vi-VN"/>
        </w:rPr>
      </w:pPr>
      <w:r w:rsidRPr="006E052C">
        <w:rPr>
          <w:lang w:val="vi-VN"/>
        </w:rPr>
        <w:t>Kết quả phân tích hồi được tổng hợp trong bảng dưới đây.</w:t>
      </w:r>
    </w:p>
    <w:tbl>
      <w:tblPr>
        <w:tblW w:w="6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89"/>
        <w:gridCol w:w="1441"/>
        <w:gridCol w:w="808"/>
        <w:gridCol w:w="720"/>
        <w:gridCol w:w="990"/>
        <w:gridCol w:w="720"/>
        <w:gridCol w:w="85"/>
      </w:tblGrid>
      <w:tr w:rsidR="006E052C" w:rsidRPr="006E052C" w14:paraId="05C8691A" w14:textId="77777777" w:rsidTr="006A632B">
        <w:trPr>
          <w:gridAfter w:val="1"/>
          <w:wAfter w:w="85" w:type="dxa"/>
          <w:trHeight w:val="20"/>
          <w:jc w:val="center"/>
        </w:trPr>
        <w:tc>
          <w:tcPr>
            <w:tcW w:w="895" w:type="dxa"/>
            <w:vMerge w:val="restart"/>
            <w:vAlign w:val="center"/>
          </w:tcPr>
          <w:p w14:paraId="417558D9"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lang w:val="pt-BR"/>
              </w:rPr>
            </w:pPr>
            <w:bookmarkStart w:id="6" w:name="_heading=h.sreexciw326s" w:colFirst="0" w:colLast="0"/>
            <w:bookmarkEnd w:id="6"/>
          </w:p>
        </w:tc>
        <w:tc>
          <w:tcPr>
            <w:tcW w:w="2430" w:type="dxa"/>
            <w:gridSpan w:val="2"/>
            <w:vAlign w:val="center"/>
          </w:tcPr>
          <w:p w14:paraId="4DDE49DC" w14:textId="77777777" w:rsidR="006A632B" w:rsidRPr="006E052C" w:rsidRDefault="006A632B" w:rsidP="006E052C">
            <w:pPr>
              <w:pBdr>
                <w:top w:val="nil"/>
                <w:left w:val="nil"/>
                <w:bottom w:val="nil"/>
                <w:right w:val="nil"/>
                <w:between w:val="nil"/>
              </w:pBdr>
              <w:spacing w:line="312" w:lineRule="auto"/>
              <w:ind w:firstLine="0"/>
              <w:jc w:val="center"/>
              <w:rPr>
                <w:b/>
                <w:bCs/>
                <w:sz w:val="20"/>
                <w:szCs w:val="20"/>
                <w:highlight w:val="white"/>
                <w:lang w:val="pt-BR"/>
              </w:rPr>
            </w:pPr>
            <w:r w:rsidRPr="006E052C">
              <w:rPr>
                <w:b/>
                <w:bCs/>
                <w:sz w:val="20"/>
                <w:szCs w:val="20"/>
                <w:highlight w:val="white"/>
                <w:lang w:val="pt-BR"/>
              </w:rPr>
              <w:t>Hệ số chưa chuẩn hóa</w:t>
            </w:r>
          </w:p>
        </w:tc>
        <w:tc>
          <w:tcPr>
            <w:tcW w:w="808" w:type="dxa"/>
            <w:vMerge w:val="restart"/>
            <w:vAlign w:val="center"/>
          </w:tcPr>
          <w:p w14:paraId="63C44C45" w14:textId="77777777" w:rsidR="006A632B" w:rsidRPr="006E052C" w:rsidRDefault="006A632B" w:rsidP="006E052C">
            <w:pPr>
              <w:pBdr>
                <w:top w:val="nil"/>
                <w:left w:val="nil"/>
                <w:bottom w:val="nil"/>
                <w:right w:val="nil"/>
                <w:between w:val="nil"/>
              </w:pBdr>
              <w:spacing w:line="312" w:lineRule="auto"/>
              <w:ind w:firstLine="0"/>
              <w:jc w:val="center"/>
              <w:rPr>
                <w:b/>
                <w:bCs/>
                <w:sz w:val="20"/>
                <w:szCs w:val="20"/>
                <w:highlight w:val="white"/>
              </w:rPr>
            </w:pPr>
            <w:r w:rsidRPr="006E052C">
              <w:rPr>
                <w:b/>
                <w:bCs/>
                <w:sz w:val="20"/>
                <w:szCs w:val="20"/>
                <w:highlight w:val="white"/>
              </w:rPr>
              <w:t>t</w:t>
            </w:r>
          </w:p>
        </w:tc>
        <w:tc>
          <w:tcPr>
            <w:tcW w:w="720" w:type="dxa"/>
            <w:vMerge w:val="restart"/>
            <w:vAlign w:val="center"/>
          </w:tcPr>
          <w:p w14:paraId="7CAEDA9D" w14:textId="77777777" w:rsidR="006A632B" w:rsidRPr="006E052C" w:rsidRDefault="006A632B" w:rsidP="006E052C">
            <w:pPr>
              <w:pBdr>
                <w:top w:val="nil"/>
                <w:left w:val="nil"/>
                <w:bottom w:val="nil"/>
                <w:right w:val="nil"/>
                <w:between w:val="nil"/>
              </w:pBdr>
              <w:spacing w:line="312" w:lineRule="auto"/>
              <w:ind w:firstLine="0"/>
              <w:jc w:val="center"/>
              <w:rPr>
                <w:b/>
                <w:bCs/>
                <w:sz w:val="20"/>
                <w:szCs w:val="20"/>
                <w:highlight w:val="white"/>
              </w:rPr>
            </w:pPr>
            <w:r w:rsidRPr="006E052C">
              <w:rPr>
                <w:b/>
                <w:bCs/>
                <w:sz w:val="20"/>
                <w:szCs w:val="20"/>
                <w:highlight w:val="white"/>
              </w:rPr>
              <w:t>Sig.</w:t>
            </w:r>
          </w:p>
        </w:tc>
        <w:tc>
          <w:tcPr>
            <w:tcW w:w="1710" w:type="dxa"/>
            <w:gridSpan w:val="2"/>
            <w:vAlign w:val="center"/>
          </w:tcPr>
          <w:p w14:paraId="5B05BA49" w14:textId="77777777" w:rsidR="006A632B" w:rsidRPr="006E052C" w:rsidRDefault="006A632B" w:rsidP="006E052C">
            <w:pPr>
              <w:pBdr>
                <w:top w:val="nil"/>
                <w:left w:val="nil"/>
                <w:bottom w:val="nil"/>
                <w:right w:val="nil"/>
                <w:between w:val="nil"/>
              </w:pBdr>
              <w:spacing w:line="312" w:lineRule="auto"/>
              <w:ind w:firstLine="0"/>
              <w:jc w:val="center"/>
              <w:rPr>
                <w:b/>
                <w:bCs/>
                <w:sz w:val="20"/>
                <w:szCs w:val="20"/>
                <w:highlight w:val="white"/>
              </w:rPr>
            </w:pPr>
            <w:r w:rsidRPr="006E052C">
              <w:rPr>
                <w:b/>
                <w:bCs/>
                <w:sz w:val="20"/>
                <w:szCs w:val="20"/>
                <w:highlight w:val="white"/>
              </w:rPr>
              <w:t>Đa cộng tuyến</w:t>
            </w:r>
          </w:p>
        </w:tc>
      </w:tr>
      <w:tr w:rsidR="006E052C" w:rsidRPr="006E052C" w14:paraId="550D6530" w14:textId="77777777" w:rsidTr="006A632B">
        <w:trPr>
          <w:gridAfter w:val="1"/>
          <w:wAfter w:w="85" w:type="dxa"/>
          <w:trHeight w:val="20"/>
          <w:jc w:val="center"/>
        </w:trPr>
        <w:tc>
          <w:tcPr>
            <w:tcW w:w="895" w:type="dxa"/>
            <w:vMerge/>
            <w:vAlign w:val="center"/>
          </w:tcPr>
          <w:p w14:paraId="7474B11B" w14:textId="77777777" w:rsidR="006A632B" w:rsidRPr="006E052C" w:rsidRDefault="006A632B" w:rsidP="006E052C">
            <w:pPr>
              <w:widowControl w:val="0"/>
              <w:pBdr>
                <w:top w:val="nil"/>
                <w:left w:val="nil"/>
                <w:bottom w:val="nil"/>
                <w:right w:val="nil"/>
                <w:between w:val="nil"/>
              </w:pBdr>
              <w:spacing w:line="312" w:lineRule="auto"/>
              <w:ind w:firstLine="0"/>
              <w:jc w:val="left"/>
              <w:rPr>
                <w:sz w:val="20"/>
                <w:szCs w:val="20"/>
                <w:highlight w:val="white"/>
              </w:rPr>
            </w:pPr>
          </w:p>
        </w:tc>
        <w:tc>
          <w:tcPr>
            <w:tcW w:w="989" w:type="dxa"/>
            <w:tcBorders>
              <w:bottom w:val="single" w:sz="4" w:space="0" w:color="000000"/>
            </w:tcBorders>
            <w:vAlign w:val="center"/>
          </w:tcPr>
          <w:p w14:paraId="3BBB4E86" w14:textId="77777777" w:rsidR="006A632B" w:rsidRPr="006E052C" w:rsidRDefault="006A632B" w:rsidP="006E052C">
            <w:pPr>
              <w:pBdr>
                <w:top w:val="nil"/>
                <w:left w:val="nil"/>
                <w:bottom w:val="nil"/>
                <w:right w:val="nil"/>
                <w:between w:val="nil"/>
              </w:pBdr>
              <w:spacing w:line="312" w:lineRule="auto"/>
              <w:ind w:firstLine="0"/>
              <w:jc w:val="center"/>
              <w:rPr>
                <w:b/>
                <w:bCs/>
                <w:i/>
                <w:iCs/>
                <w:sz w:val="20"/>
                <w:szCs w:val="20"/>
                <w:highlight w:val="white"/>
              </w:rPr>
            </w:pPr>
            <w:r w:rsidRPr="006E052C">
              <w:rPr>
                <w:b/>
                <w:bCs/>
                <w:i/>
                <w:iCs/>
                <w:sz w:val="20"/>
                <w:szCs w:val="20"/>
                <w:highlight w:val="white"/>
              </w:rPr>
              <w:t>B</w:t>
            </w:r>
          </w:p>
        </w:tc>
        <w:tc>
          <w:tcPr>
            <w:tcW w:w="1441" w:type="dxa"/>
            <w:tcBorders>
              <w:bottom w:val="single" w:sz="4" w:space="0" w:color="000000"/>
            </w:tcBorders>
            <w:vAlign w:val="center"/>
          </w:tcPr>
          <w:p w14:paraId="1BC02BF2" w14:textId="77777777" w:rsidR="006A632B" w:rsidRPr="006E052C" w:rsidRDefault="006A632B" w:rsidP="006E052C">
            <w:pPr>
              <w:pBdr>
                <w:top w:val="nil"/>
                <w:left w:val="nil"/>
                <w:bottom w:val="nil"/>
                <w:right w:val="nil"/>
                <w:between w:val="nil"/>
              </w:pBdr>
              <w:spacing w:line="312" w:lineRule="auto"/>
              <w:ind w:firstLine="0"/>
              <w:jc w:val="center"/>
              <w:rPr>
                <w:b/>
                <w:bCs/>
                <w:i/>
                <w:iCs/>
                <w:sz w:val="20"/>
                <w:szCs w:val="20"/>
                <w:highlight w:val="white"/>
              </w:rPr>
            </w:pPr>
            <w:r w:rsidRPr="006E052C">
              <w:rPr>
                <w:b/>
                <w:bCs/>
                <w:i/>
                <w:iCs/>
                <w:sz w:val="20"/>
                <w:szCs w:val="20"/>
                <w:highlight w:val="white"/>
              </w:rPr>
              <w:t>Độ lệch chuẩn</w:t>
            </w:r>
          </w:p>
        </w:tc>
        <w:tc>
          <w:tcPr>
            <w:tcW w:w="808" w:type="dxa"/>
            <w:vMerge/>
            <w:vAlign w:val="center"/>
          </w:tcPr>
          <w:p w14:paraId="36629E68" w14:textId="77777777" w:rsidR="006A632B" w:rsidRPr="006E052C" w:rsidRDefault="006A632B" w:rsidP="006E052C">
            <w:pPr>
              <w:widowControl w:val="0"/>
              <w:pBdr>
                <w:top w:val="nil"/>
                <w:left w:val="nil"/>
                <w:bottom w:val="nil"/>
                <w:right w:val="nil"/>
                <w:between w:val="nil"/>
              </w:pBdr>
              <w:spacing w:line="312" w:lineRule="auto"/>
              <w:ind w:firstLine="0"/>
              <w:jc w:val="left"/>
              <w:rPr>
                <w:sz w:val="20"/>
                <w:szCs w:val="20"/>
                <w:highlight w:val="white"/>
              </w:rPr>
            </w:pPr>
          </w:p>
        </w:tc>
        <w:tc>
          <w:tcPr>
            <w:tcW w:w="720" w:type="dxa"/>
            <w:vMerge/>
            <w:vAlign w:val="center"/>
          </w:tcPr>
          <w:p w14:paraId="0063DE2B" w14:textId="77777777" w:rsidR="006A632B" w:rsidRPr="006E052C" w:rsidRDefault="006A632B" w:rsidP="006E052C">
            <w:pPr>
              <w:widowControl w:val="0"/>
              <w:pBdr>
                <w:top w:val="nil"/>
                <w:left w:val="nil"/>
                <w:bottom w:val="nil"/>
                <w:right w:val="nil"/>
                <w:between w:val="nil"/>
              </w:pBdr>
              <w:spacing w:line="312" w:lineRule="auto"/>
              <w:ind w:firstLine="0"/>
              <w:jc w:val="left"/>
              <w:rPr>
                <w:sz w:val="20"/>
                <w:szCs w:val="20"/>
                <w:highlight w:val="white"/>
              </w:rPr>
            </w:pPr>
          </w:p>
        </w:tc>
        <w:tc>
          <w:tcPr>
            <w:tcW w:w="990" w:type="dxa"/>
            <w:tcBorders>
              <w:bottom w:val="single" w:sz="4" w:space="0" w:color="000000"/>
            </w:tcBorders>
            <w:vAlign w:val="center"/>
          </w:tcPr>
          <w:p w14:paraId="124EB7B2" w14:textId="77777777" w:rsidR="006A632B" w:rsidRPr="006E052C" w:rsidRDefault="006A632B" w:rsidP="006E052C">
            <w:pPr>
              <w:pBdr>
                <w:top w:val="nil"/>
                <w:left w:val="nil"/>
                <w:bottom w:val="nil"/>
                <w:right w:val="nil"/>
                <w:between w:val="nil"/>
              </w:pBdr>
              <w:spacing w:line="312" w:lineRule="auto"/>
              <w:ind w:firstLine="0"/>
              <w:jc w:val="center"/>
              <w:rPr>
                <w:b/>
                <w:bCs/>
                <w:i/>
                <w:iCs/>
                <w:sz w:val="20"/>
                <w:szCs w:val="20"/>
                <w:highlight w:val="white"/>
              </w:rPr>
            </w:pPr>
            <w:r w:rsidRPr="006E052C">
              <w:rPr>
                <w:b/>
                <w:bCs/>
                <w:i/>
                <w:iCs/>
                <w:sz w:val="20"/>
                <w:szCs w:val="20"/>
                <w:highlight w:val="white"/>
              </w:rPr>
              <w:t>Dung sai</w:t>
            </w:r>
          </w:p>
        </w:tc>
        <w:tc>
          <w:tcPr>
            <w:tcW w:w="720" w:type="dxa"/>
            <w:tcBorders>
              <w:bottom w:val="single" w:sz="4" w:space="0" w:color="000000"/>
            </w:tcBorders>
            <w:vAlign w:val="center"/>
          </w:tcPr>
          <w:p w14:paraId="70E9D140" w14:textId="77777777" w:rsidR="006A632B" w:rsidRPr="006E052C" w:rsidRDefault="006A632B" w:rsidP="006E052C">
            <w:pPr>
              <w:pBdr>
                <w:top w:val="nil"/>
                <w:left w:val="nil"/>
                <w:bottom w:val="nil"/>
                <w:right w:val="nil"/>
                <w:between w:val="nil"/>
              </w:pBdr>
              <w:spacing w:line="312" w:lineRule="auto"/>
              <w:ind w:firstLine="0"/>
              <w:jc w:val="center"/>
              <w:rPr>
                <w:b/>
                <w:bCs/>
                <w:i/>
                <w:iCs/>
                <w:sz w:val="20"/>
                <w:szCs w:val="20"/>
                <w:highlight w:val="white"/>
              </w:rPr>
            </w:pPr>
            <w:r w:rsidRPr="006E052C">
              <w:rPr>
                <w:b/>
                <w:bCs/>
                <w:i/>
                <w:iCs/>
                <w:sz w:val="20"/>
                <w:szCs w:val="20"/>
                <w:highlight w:val="white"/>
              </w:rPr>
              <w:t>VIF</w:t>
            </w:r>
          </w:p>
        </w:tc>
      </w:tr>
      <w:tr w:rsidR="006E052C" w:rsidRPr="006E052C" w14:paraId="4B785B92" w14:textId="77777777" w:rsidTr="006A632B">
        <w:trPr>
          <w:gridAfter w:val="1"/>
          <w:wAfter w:w="85" w:type="dxa"/>
          <w:trHeight w:val="20"/>
          <w:jc w:val="center"/>
        </w:trPr>
        <w:tc>
          <w:tcPr>
            <w:tcW w:w="895" w:type="dxa"/>
            <w:tcBorders>
              <w:bottom w:val="dotted" w:sz="4" w:space="0" w:color="000000"/>
            </w:tcBorders>
          </w:tcPr>
          <w:p w14:paraId="7DEFC5DD"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(hệ số)</w:t>
            </w:r>
          </w:p>
        </w:tc>
        <w:tc>
          <w:tcPr>
            <w:tcW w:w="989" w:type="dxa"/>
            <w:tcBorders>
              <w:bottom w:val="dotted" w:sz="4" w:space="0" w:color="000000"/>
            </w:tcBorders>
            <w:vAlign w:val="center"/>
          </w:tcPr>
          <w:p w14:paraId="7286B0E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-0,004</w:t>
            </w:r>
          </w:p>
        </w:tc>
        <w:tc>
          <w:tcPr>
            <w:tcW w:w="1441" w:type="dxa"/>
            <w:tcBorders>
              <w:bottom w:val="dotted" w:sz="4" w:space="0" w:color="000000"/>
            </w:tcBorders>
            <w:vAlign w:val="center"/>
          </w:tcPr>
          <w:p w14:paraId="343DBDC7"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0,052</w:t>
            </w:r>
          </w:p>
        </w:tc>
        <w:tc>
          <w:tcPr>
            <w:tcW w:w="808" w:type="dxa"/>
            <w:tcBorders>
              <w:bottom w:val="dotted" w:sz="4" w:space="0" w:color="000000"/>
            </w:tcBorders>
            <w:vAlign w:val="center"/>
          </w:tcPr>
          <w:p w14:paraId="3FA63AC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-0,087</w:t>
            </w:r>
          </w:p>
        </w:tc>
        <w:tc>
          <w:tcPr>
            <w:tcW w:w="720" w:type="dxa"/>
            <w:tcBorders>
              <w:bottom w:val="dotted" w:sz="4" w:space="0" w:color="000000"/>
            </w:tcBorders>
            <w:vAlign w:val="center"/>
          </w:tcPr>
          <w:p w14:paraId="6728F88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0,931</w:t>
            </w:r>
          </w:p>
        </w:tc>
        <w:tc>
          <w:tcPr>
            <w:tcW w:w="990" w:type="dxa"/>
            <w:tcBorders>
              <w:bottom w:val="dotted" w:sz="4" w:space="0" w:color="000000"/>
            </w:tcBorders>
            <w:vAlign w:val="center"/>
          </w:tcPr>
          <w:p w14:paraId="29D3E50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p>
        </w:tc>
        <w:tc>
          <w:tcPr>
            <w:tcW w:w="720" w:type="dxa"/>
            <w:tcBorders>
              <w:bottom w:val="dotted" w:sz="4" w:space="0" w:color="000000"/>
            </w:tcBorders>
            <w:vAlign w:val="center"/>
          </w:tcPr>
          <w:p w14:paraId="41072DE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p>
        </w:tc>
      </w:tr>
      <w:tr w:rsidR="006E052C" w:rsidRPr="006E052C" w14:paraId="0F0FD2A2" w14:textId="77777777" w:rsidTr="006A632B">
        <w:trPr>
          <w:gridAfter w:val="1"/>
          <w:wAfter w:w="85" w:type="dxa"/>
          <w:trHeight w:val="20"/>
          <w:jc w:val="center"/>
        </w:trPr>
        <w:tc>
          <w:tcPr>
            <w:tcW w:w="895" w:type="dxa"/>
            <w:tcBorders>
              <w:top w:val="dotted" w:sz="4" w:space="0" w:color="000000"/>
              <w:bottom w:val="dotted" w:sz="4" w:space="0" w:color="000000"/>
            </w:tcBorders>
          </w:tcPr>
          <w:p w14:paraId="635DBE6A"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X1</w:t>
            </w:r>
          </w:p>
        </w:tc>
        <w:tc>
          <w:tcPr>
            <w:tcW w:w="989" w:type="dxa"/>
            <w:tcBorders>
              <w:top w:val="dotted" w:sz="4" w:space="0" w:color="000000"/>
              <w:bottom w:val="dotted" w:sz="4" w:space="0" w:color="000000"/>
            </w:tcBorders>
            <w:vAlign w:val="center"/>
          </w:tcPr>
          <w:p w14:paraId="1E5EC23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0,224***</w:t>
            </w:r>
          </w:p>
        </w:tc>
        <w:tc>
          <w:tcPr>
            <w:tcW w:w="1441" w:type="dxa"/>
            <w:tcBorders>
              <w:top w:val="dotted" w:sz="4" w:space="0" w:color="000000"/>
              <w:bottom w:val="dotted" w:sz="4" w:space="0" w:color="000000"/>
            </w:tcBorders>
            <w:vAlign w:val="center"/>
          </w:tcPr>
          <w:p w14:paraId="344CE24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0,058</w:t>
            </w:r>
          </w:p>
        </w:tc>
        <w:tc>
          <w:tcPr>
            <w:tcW w:w="808" w:type="dxa"/>
            <w:tcBorders>
              <w:top w:val="dotted" w:sz="4" w:space="0" w:color="000000"/>
              <w:bottom w:val="dotted" w:sz="4" w:space="0" w:color="000000"/>
            </w:tcBorders>
            <w:vAlign w:val="center"/>
          </w:tcPr>
          <w:p w14:paraId="049105F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3,858</w:t>
            </w:r>
          </w:p>
        </w:tc>
        <w:tc>
          <w:tcPr>
            <w:tcW w:w="720" w:type="dxa"/>
            <w:tcBorders>
              <w:top w:val="dotted" w:sz="4" w:space="0" w:color="000000"/>
              <w:bottom w:val="dotted" w:sz="4" w:space="0" w:color="000000"/>
            </w:tcBorders>
            <w:vAlign w:val="center"/>
          </w:tcPr>
          <w:p w14:paraId="4A9EEEE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0,000</w:t>
            </w:r>
          </w:p>
        </w:tc>
        <w:tc>
          <w:tcPr>
            <w:tcW w:w="990" w:type="dxa"/>
            <w:tcBorders>
              <w:top w:val="dotted" w:sz="4" w:space="0" w:color="000000"/>
              <w:bottom w:val="dotted" w:sz="4" w:space="0" w:color="000000"/>
            </w:tcBorders>
            <w:vAlign w:val="center"/>
          </w:tcPr>
          <w:p w14:paraId="4E41199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0,723</w:t>
            </w:r>
          </w:p>
        </w:tc>
        <w:tc>
          <w:tcPr>
            <w:tcW w:w="720" w:type="dxa"/>
            <w:tcBorders>
              <w:top w:val="dotted" w:sz="4" w:space="0" w:color="000000"/>
              <w:bottom w:val="dotted" w:sz="4" w:space="0" w:color="000000"/>
            </w:tcBorders>
            <w:vAlign w:val="center"/>
          </w:tcPr>
          <w:p w14:paraId="3280B79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1,384</w:t>
            </w:r>
          </w:p>
        </w:tc>
      </w:tr>
      <w:tr w:rsidR="006E052C" w:rsidRPr="006E052C" w14:paraId="041D0CC9" w14:textId="77777777" w:rsidTr="006A632B">
        <w:trPr>
          <w:gridAfter w:val="1"/>
          <w:wAfter w:w="85" w:type="dxa"/>
          <w:trHeight w:val="20"/>
          <w:jc w:val="center"/>
        </w:trPr>
        <w:tc>
          <w:tcPr>
            <w:tcW w:w="895" w:type="dxa"/>
            <w:tcBorders>
              <w:top w:val="dotted" w:sz="4" w:space="0" w:color="000000"/>
              <w:bottom w:val="dotted" w:sz="4" w:space="0" w:color="000000"/>
            </w:tcBorders>
          </w:tcPr>
          <w:p w14:paraId="6D103BDC"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X2</w:t>
            </w:r>
          </w:p>
        </w:tc>
        <w:tc>
          <w:tcPr>
            <w:tcW w:w="989" w:type="dxa"/>
            <w:tcBorders>
              <w:top w:val="dotted" w:sz="4" w:space="0" w:color="000000"/>
              <w:bottom w:val="dotted" w:sz="4" w:space="0" w:color="000000"/>
            </w:tcBorders>
            <w:vAlign w:val="center"/>
          </w:tcPr>
          <w:p w14:paraId="22D54ACE"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0,327***</w:t>
            </w:r>
          </w:p>
        </w:tc>
        <w:tc>
          <w:tcPr>
            <w:tcW w:w="1441" w:type="dxa"/>
            <w:tcBorders>
              <w:top w:val="dotted" w:sz="4" w:space="0" w:color="000000"/>
              <w:bottom w:val="dotted" w:sz="4" w:space="0" w:color="000000"/>
            </w:tcBorders>
            <w:vAlign w:val="center"/>
          </w:tcPr>
          <w:p w14:paraId="6BA37941"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0,054</w:t>
            </w:r>
          </w:p>
        </w:tc>
        <w:tc>
          <w:tcPr>
            <w:tcW w:w="808" w:type="dxa"/>
            <w:tcBorders>
              <w:top w:val="dotted" w:sz="4" w:space="0" w:color="000000"/>
              <w:bottom w:val="dotted" w:sz="4" w:space="0" w:color="000000"/>
            </w:tcBorders>
            <w:vAlign w:val="center"/>
          </w:tcPr>
          <w:p w14:paraId="796FAA3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6,094</w:t>
            </w:r>
          </w:p>
        </w:tc>
        <w:tc>
          <w:tcPr>
            <w:tcW w:w="720" w:type="dxa"/>
            <w:tcBorders>
              <w:top w:val="dotted" w:sz="4" w:space="0" w:color="000000"/>
              <w:bottom w:val="dotted" w:sz="4" w:space="0" w:color="000000"/>
            </w:tcBorders>
            <w:vAlign w:val="center"/>
          </w:tcPr>
          <w:p w14:paraId="4BE13C78"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0,000</w:t>
            </w:r>
          </w:p>
        </w:tc>
        <w:tc>
          <w:tcPr>
            <w:tcW w:w="990" w:type="dxa"/>
            <w:tcBorders>
              <w:top w:val="dotted" w:sz="4" w:space="0" w:color="000000"/>
              <w:bottom w:val="dotted" w:sz="4" w:space="0" w:color="000000"/>
            </w:tcBorders>
            <w:vAlign w:val="center"/>
          </w:tcPr>
          <w:p w14:paraId="1AD9AE9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0,843</w:t>
            </w:r>
          </w:p>
        </w:tc>
        <w:tc>
          <w:tcPr>
            <w:tcW w:w="720" w:type="dxa"/>
            <w:tcBorders>
              <w:top w:val="dotted" w:sz="4" w:space="0" w:color="000000"/>
              <w:bottom w:val="dotted" w:sz="4" w:space="0" w:color="000000"/>
            </w:tcBorders>
            <w:vAlign w:val="center"/>
          </w:tcPr>
          <w:p w14:paraId="2C0CDA3C"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1,187</w:t>
            </w:r>
          </w:p>
        </w:tc>
      </w:tr>
      <w:tr w:rsidR="006E052C" w:rsidRPr="006E052C" w14:paraId="2799BE2F" w14:textId="77777777" w:rsidTr="006A632B">
        <w:trPr>
          <w:gridAfter w:val="1"/>
          <w:wAfter w:w="85" w:type="dxa"/>
          <w:trHeight w:val="20"/>
          <w:jc w:val="center"/>
        </w:trPr>
        <w:tc>
          <w:tcPr>
            <w:tcW w:w="895" w:type="dxa"/>
            <w:tcBorders>
              <w:top w:val="dotted" w:sz="4" w:space="0" w:color="000000"/>
              <w:bottom w:val="dotted" w:sz="4" w:space="0" w:color="000000"/>
            </w:tcBorders>
          </w:tcPr>
          <w:p w14:paraId="69803E74"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X3</w:t>
            </w:r>
          </w:p>
        </w:tc>
        <w:tc>
          <w:tcPr>
            <w:tcW w:w="989" w:type="dxa"/>
            <w:tcBorders>
              <w:top w:val="dotted" w:sz="4" w:space="0" w:color="000000"/>
              <w:bottom w:val="dotted" w:sz="4" w:space="0" w:color="000000"/>
            </w:tcBorders>
            <w:vAlign w:val="center"/>
          </w:tcPr>
          <w:p w14:paraId="77E8D44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0,084</w:t>
            </w:r>
          </w:p>
        </w:tc>
        <w:tc>
          <w:tcPr>
            <w:tcW w:w="1441" w:type="dxa"/>
            <w:tcBorders>
              <w:top w:val="dotted" w:sz="4" w:space="0" w:color="000000"/>
              <w:bottom w:val="dotted" w:sz="4" w:space="0" w:color="000000"/>
            </w:tcBorders>
            <w:vAlign w:val="center"/>
          </w:tcPr>
          <w:p w14:paraId="3A23EC4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0,058</w:t>
            </w:r>
          </w:p>
        </w:tc>
        <w:tc>
          <w:tcPr>
            <w:tcW w:w="808" w:type="dxa"/>
            <w:tcBorders>
              <w:top w:val="dotted" w:sz="4" w:space="0" w:color="000000"/>
              <w:bottom w:val="dotted" w:sz="4" w:space="0" w:color="000000"/>
            </w:tcBorders>
            <w:vAlign w:val="center"/>
          </w:tcPr>
          <w:p w14:paraId="0F2D176C"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1,437</w:t>
            </w:r>
          </w:p>
        </w:tc>
        <w:tc>
          <w:tcPr>
            <w:tcW w:w="720" w:type="dxa"/>
            <w:tcBorders>
              <w:top w:val="dotted" w:sz="4" w:space="0" w:color="000000"/>
              <w:bottom w:val="dotted" w:sz="4" w:space="0" w:color="000000"/>
            </w:tcBorders>
            <w:vAlign w:val="center"/>
          </w:tcPr>
          <w:p w14:paraId="4FE84EB8"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0,152</w:t>
            </w:r>
          </w:p>
        </w:tc>
        <w:tc>
          <w:tcPr>
            <w:tcW w:w="990" w:type="dxa"/>
            <w:tcBorders>
              <w:top w:val="dotted" w:sz="4" w:space="0" w:color="000000"/>
              <w:bottom w:val="dotted" w:sz="4" w:space="0" w:color="000000"/>
            </w:tcBorders>
            <w:vAlign w:val="center"/>
          </w:tcPr>
          <w:p w14:paraId="1E20C36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0,713</w:t>
            </w:r>
          </w:p>
        </w:tc>
        <w:tc>
          <w:tcPr>
            <w:tcW w:w="720" w:type="dxa"/>
            <w:tcBorders>
              <w:top w:val="dotted" w:sz="4" w:space="0" w:color="000000"/>
              <w:bottom w:val="dotted" w:sz="4" w:space="0" w:color="000000"/>
            </w:tcBorders>
            <w:vAlign w:val="center"/>
          </w:tcPr>
          <w:p w14:paraId="69F643F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1,402</w:t>
            </w:r>
          </w:p>
        </w:tc>
      </w:tr>
      <w:tr w:rsidR="006E052C" w:rsidRPr="006E052C" w14:paraId="09C8BBAE" w14:textId="77777777" w:rsidTr="006A632B">
        <w:trPr>
          <w:gridAfter w:val="1"/>
          <w:wAfter w:w="85" w:type="dxa"/>
          <w:trHeight w:val="20"/>
          <w:jc w:val="center"/>
        </w:trPr>
        <w:tc>
          <w:tcPr>
            <w:tcW w:w="895" w:type="dxa"/>
            <w:tcBorders>
              <w:top w:val="dotted" w:sz="4" w:space="0" w:color="000000"/>
              <w:bottom w:val="dotted" w:sz="4" w:space="0" w:color="000000"/>
            </w:tcBorders>
          </w:tcPr>
          <w:p w14:paraId="5021E30C"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X4</w:t>
            </w:r>
          </w:p>
        </w:tc>
        <w:tc>
          <w:tcPr>
            <w:tcW w:w="989" w:type="dxa"/>
            <w:tcBorders>
              <w:top w:val="dotted" w:sz="4" w:space="0" w:color="000000"/>
              <w:bottom w:val="dotted" w:sz="4" w:space="0" w:color="000000"/>
            </w:tcBorders>
            <w:vAlign w:val="center"/>
          </w:tcPr>
          <w:p w14:paraId="3F10124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0,109*</w:t>
            </w:r>
          </w:p>
        </w:tc>
        <w:tc>
          <w:tcPr>
            <w:tcW w:w="1441" w:type="dxa"/>
            <w:tcBorders>
              <w:top w:val="dotted" w:sz="4" w:space="0" w:color="000000"/>
              <w:bottom w:val="dotted" w:sz="4" w:space="0" w:color="000000"/>
            </w:tcBorders>
            <w:vAlign w:val="center"/>
          </w:tcPr>
          <w:p w14:paraId="6699521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0,055</w:t>
            </w:r>
          </w:p>
        </w:tc>
        <w:tc>
          <w:tcPr>
            <w:tcW w:w="808" w:type="dxa"/>
            <w:tcBorders>
              <w:top w:val="dotted" w:sz="4" w:space="0" w:color="000000"/>
              <w:bottom w:val="dotted" w:sz="4" w:space="0" w:color="000000"/>
            </w:tcBorders>
            <w:vAlign w:val="center"/>
          </w:tcPr>
          <w:p w14:paraId="22EEBCE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1,974</w:t>
            </w:r>
          </w:p>
        </w:tc>
        <w:tc>
          <w:tcPr>
            <w:tcW w:w="720" w:type="dxa"/>
            <w:tcBorders>
              <w:top w:val="dotted" w:sz="4" w:space="0" w:color="000000"/>
              <w:bottom w:val="dotted" w:sz="4" w:space="0" w:color="000000"/>
            </w:tcBorders>
            <w:vAlign w:val="center"/>
          </w:tcPr>
          <w:p w14:paraId="3BD0E7FE"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0,049</w:t>
            </w:r>
          </w:p>
        </w:tc>
        <w:tc>
          <w:tcPr>
            <w:tcW w:w="990" w:type="dxa"/>
            <w:tcBorders>
              <w:top w:val="dotted" w:sz="4" w:space="0" w:color="000000"/>
              <w:bottom w:val="dotted" w:sz="4" w:space="0" w:color="000000"/>
            </w:tcBorders>
            <w:vAlign w:val="center"/>
          </w:tcPr>
          <w:p w14:paraId="5860D67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0,798</w:t>
            </w:r>
          </w:p>
        </w:tc>
        <w:tc>
          <w:tcPr>
            <w:tcW w:w="720" w:type="dxa"/>
            <w:tcBorders>
              <w:top w:val="dotted" w:sz="4" w:space="0" w:color="000000"/>
              <w:bottom w:val="dotted" w:sz="4" w:space="0" w:color="000000"/>
            </w:tcBorders>
            <w:vAlign w:val="center"/>
          </w:tcPr>
          <w:p w14:paraId="161048E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1,253</w:t>
            </w:r>
          </w:p>
        </w:tc>
      </w:tr>
      <w:tr w:rsidR="006E052C" w:rsidRPr="006E052C" w14:paraId="432629A4" w14:textId="77777777" w:rsidTr="006A632B">
        <w:trPr>
          <w:gridAfter w:val="1"/>
          <w:wAfter w:w="85" w:type="dxa"/>
          <w:trHeight w:val="20"/>
          <w:jc w:val="center"/>
        </w:trPr>
        <w:tc>
          <w:tcPr>
            <w:tcW w:w="895" w:type="dxa"/>
            <w:tcBorders>
              <w:top w:val="dotted" w:sz="4" w:space="0" w:color="000000"/>
              <w:bottom w:val="dotted" w:sz="4" w:space="0" w:color="000000"/>
            </w:tcBorders>
          </w:tcPr>
          <w:p w14:paraId="74D4B0D0"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X5</w:t>
            </w:r>
          </w:p>
        </w:tc>
        <w:tc>
          <w:tcPr>
            <w:tcW w:w="989" w:type="dxa"/>
            <w:tcBorders>
              <w:top w:val="dotted" w:sz="4" w:space="0" w:color="000000"/>
              <w:bottom w:val="dotted" w:sz="4" w:space="0" w:color="000000"/>
            </w:tcBorders>
            <w:vAlign w:val="center"/>
          </w:tcPr>
          <w:p w14:paraId="1E901B05"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0,134*</w:t>
            </w:r>
          </w:p>
        </w:tc>
        <w:tc>
          <w:tcPr>
            <w:tcW w:w="1441" w:type="dxa"/>
            <w:tcBorders>
              <w:top w:val="dotted" w:sz="4" w:space="0" w:color="000000"/>
              <w:bottom w:val="dotted" w:sz="4" w:space="0" w:color="000000"/>
            </w:tcBorders>
            <w:vAlign w:val="center"/>
          </w:tcPr>
          <w:p w14:paraId="1969413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0,054</w:t>
            </w:r>
          </w:p>
        </w:tc>
        <w:tc>
          <w:tcPr>
            <w:tcW w:w="808" w:type="dxa"/>
            <w:tcBorders>
              <w:top w:val="dotted" w:sz="4" w:space="0" w:color="000000"/>
              <w:bottom w:val="dotted" w:sz="4" w:space="0" w:color="000000"/>
            </w:tcBorders>
            <w:vAlign w:val="center"/>
          </w:tcPr>
          <w:p w14:paraId="75F8CAB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2,470</w:t>
            </w:r>
          </w:p>
        </w:tc>
        <w:tc>
          <w:tcPr>
            <w:tcW w:w="720" w:type="dxa"/>
            <w:tcBorders>
              <w:top w:val="dotted" w:sz="4" w:space="0" w:color="000000"/>
              <w:bottom w:val="dotted" w:sz="4" w:space="0" w:color="000000"/>
            </w:tcBorders>
            <w:vAlign w:val="center"/>
          </w:tcPr>
          <w:p w14:paraId="64862E4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0,014</w:t>
            </w:r>
          </w:p>
        </w:tc>
        <w:tc>
          <w:tcPr>
            <w:tcW w:w="990" w:type="dxa"/>
            <w:tcBorders>
              <w:top w:val="dotted" w:sz="4" w:space="0" w:color="000000"/>
              <w:bottom w:val="dotted" w:sz="4" w:space="0" w:color="000000"/>
            </w:tcBorders>
            <w:vAlign w:val="center"/>
          </w:tcPr>
          <w:p w14:paraId="0AAABC4E"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0,832</w:t>
            </w:r>
          </w:p>
        </w:tc>
        <w:tc>
          <w:tcPr>
            <w:tcW w:w="720" w:type="dxa"/>
            <w:tcBorders>
              <w:top w:val="dotted" w:sz="4" w:space="0" w:color="000000"/>
              <w:bottom w:val="dotted" w:sz="4" w:space="0" w:color="000000"/>
            </w:tcBorders>
            <w:vAlign w:val="center"/>
          </w:tcPr>
          <w:p w14:paraId="5306B3A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1,202</w:t>
            </w:r>
          </w:p>
        </w:tc>
      </w:tr>
      <w:tr w:rsidR="006E052C" w:rsidRPr="006E052C" w14:paraId="1CC1183A" w14:textId="77777777" w:rsidTr="006A632B">
        <w:trPr>
          <w:gridAfter w:val="1"/>
          <w:wAfter w:w="85" w:type="dxa"/>
          <w:trHeight w:val="20"/>
          <w:jc w:val="center"/>
        </w:trPr>
        <w:tc>
          <w:tcPr>
            <w:tcW w:w="895" w:type="dxa"/>
            <w:tcBorders>
              <w:top w:val="dotted" w:sz="4" w:space="0" w:color="000000"/>
              <w:bottom w:val="dotted" w:sz="4" w:space="0" w:color="000000"/>
            </w:tcBorders>
          </w:tcPr>
          <w:p w14:paraId="2A183F9D"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X6</w:t>
            </w:r>
          </w:p>
        </w:tc>
        <w:tc>
          <w:tcPr>
            <w:tcW w:w="989" w:type="dxa"/>
            <w:tcBorders>
              <w:top w:val="dotted" w:sz="4" w:space="0" w:color="000000"/>
              <w:bottom w:val="dotted" w:sz="4" w:space="0" w:color="000000"/>
            </w:tcBorders>
            <w:vAlign w:val="center"/>
          </w:tcPr>
          <w:p w14:paraId="7F4D2500"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0,284***</w:t>
            </w:r>
          </w:p>
        </w:tc>
        <w:tc>
          <w:tcPr>
            <w:tcW w:w="1441" w:type="dxa"/>
            <w:tcBorders>
              <w:top w:val="dotted" w:sz="4" w:space="0" w:color="000000"/>
              <w:bottom w:val="dotted" w:sz="4" w:space="0" w:color="000000"/>
            </w:tcBorders>
            <w:vAlign w:val="center"/>
          </w:tcPr>
          <w:p w14:paraId="4D916F5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0,059</w:t>
            </w:r>
          </w:p>
        </w:tc>
        <w:tc>
          <w:tcPr>
            <w:tcW w:w="808" w:type="dxa"/>
            <w:tcBorders>
              <w:top w:val="dotted" w:sz="4" w:space="0" w:color="000000"/>
              <w:bottom w:val="dotted" w:sz="4" w:space="0" w:color="000000"/>
            </w:tcBorders>
            <w:vAlign w:val="center"/>
          </w:tcPr>
          <w:p w14:paraId="5F68CCF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4,837</w:t>
            </w:r>
          </w:p>
        </w:tc>
        <w:tc>
          <w:tcPr>
            <w:tcW w:w="720" w:type="dxa"/>
            <w:tcBorders>
              <w:top w:val="dotted" w:sz="4" w:space="0" w:color="000000"/>
              <w:bottom w:val="dotted" w:sz="4" w:space="0" w:color="000000"/>
            </w:tcBorders>
            <w:vAlign w:val="center"/>
          </w:tcPr>
          <w:p w14:paraId="528B3B2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0,000</w:t>
            </w:r>
          </w:p>
        </w:tc>
        <w:tc>
          <w:tcPr>
            <w:tcW w:w="990" w:type="dxa"/>
            <w:tcBorders>
              <w:top w:val="dotted" w:sz="4" w:space="0" w:color="000000"/>
              <w:bottom w:val="dotted" w:sz="4" w:space="0" w:color="000000"/>
            </w:tcBorders>
            <w:vAlign w:val="center"/>
          </w:tcPr>
          <w:p w14:paraId="426A105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0,708</w:t>
            </w:r>
          </w:p>
        </w:tc>
        <w:tc>
          <w:tcPr>
            <w:tcW w:w="720" w:type="dxa"/>
            <w:tcBorders>
              <w:top w:val="dotted" w:sz="4" w:space="0" w:color="000000"/>
              <w:bottom w:val="dotted" w:sz="4" w:space="0" w:color="000000"/>
            </w:tcBorders>
            <w:vAlign w:val="center"/>
          </w:tcPr>
          <w:p w14:paraId="7A013E5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1,413</w:t>
            </w:r>
          </w:p>
        </w:tc>
      </w:tr>
      <w:tr w:rsidR="006E052C" w:rsidRPr="006E052C" w14:paraId="3B414F16" w14:textId="77777777" w:rsidTr="006A632B">
        <w:trPr>
          <w:gridAfter w:val="1"/>
          <w:wAfter w:w="85" w:type="dxa"/>
          <w:trHeight w:val="20"/>
          <w:jc w:val="center"/>
        </w:trPr>
        <w:tc>
          <w:tcPr>
            <w:tcW w:w="895" w:type="dxa"/>
            <w:tcBorders>
              <w:top w:val="dotted" w:sz="4" w:space="0" w:color="000000"/>
              <w:bottom w:val="dotted" w:sz="4" w:space="0" w:color="000000"/>
            </w:tcBorders>
          </w:tcPr>
          <w:p w14:paraId="36CB185A"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M</w:t>
            </w:r>
          </w:p>
        </w:tc>
        <w:tc>
          <w:tcPr>
            <w:tcW w:w="989" w:type="dxa"/>
            <w:tcBorders>
              <w:top w:val="dotted" w:sz="4" w:space="0" w:color="000000"/>
              <w:bottom w:val="dotted" w:sz="4" w:space="0" w:color="000000"/>
            </w:tcBorders>
            <w:vAlign w:val="center"/>
          </w:tcPr>
          <w:p w14:paraId="2871FFC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-0,003</w:t>
            </w:r>
          </w:p>
        </w:tc>
        <w:tc>
          <w:tcPr>
            <w:tcW w:w="1441" w:type="dxa"/>
            <w:tcBorders>
              <w:top w:val="dotted" w:sz="4" w:space="0" w:color="000000"/>
              <w:bottom w:val="dotted" w:sz="4" w:space="0" w:color="000000"/>
            </w:tcBorders>
            <w:vAlign w:val="center"/>
          </w:tcPr>
          <w:p w14:paraId="386E28E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0,056</w:t>
            </w:r>
          </w:p>
        </w:tc>
        <w:tc>
          <w:tcPr>
            <w:tcW w:w="808" w:type="dxa"/>
            <w:tcBorders>
              <w:top w:val="dotted" w:sz="4" w:space="0" w:color="000000"/>
              <w:bottom w:val="dotted" w:sz="4" w:space="0" w:color="000000"/>
            </w:tcBorders>
            <w:vAlign w:val="center"/>
          </w:tcPr>
          <w:p w14:paraId="75249EF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-0,062</w:t>
            </w:r>
          </w:p>
        </w:tc>
        <w:tc>
          <w:tcPr>
            <w:tcW w:w="720" w:type="dxa"/>
            <w:tcBorders>
              <w:top w:val="dotted" w:sz="4" w:space="0" w:color="000000"/>
              <w:bottom w:val="dotted" w:sz="4" w:space="0" w:color="000000"/>
            </w:tcBorders>
            <w:vAlign w:val="center"/>
          </w:tcPr>
          <w:p w14:paraId="18F3D455"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0,951</w:t>
            </w:r>
          </w:p>
        </w:tc>
        <w:tc>
          <w:tcPr>
            <w:tcW w:w="990" w:type="dxa"/>
            <w:tcBorders>
              <w:top w:val="dotted" w:sz="4" w:space="0" w:color="000000"/>
              <w:bottom w:val="dotted" w:sz="4" w:space="0" w:color="000000"/>
            </w:tcBorders>
            <w:vAlign w:val="center"/>
          </w:tcPr>
          <w:p w14:paraId="5D258FE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0,785</w:t>
            </w:r>
          </w:p>
        </w:tc>
        <w:tc>
          <w:tcPr>
            <w:tcW w:w="720" w:type="dxa"/>
            <w:tcBorders>
              <w:top w:val="dotted" w:sz="4" w:space="0" w:color="000000"/>
              <w:bottom w:val="dotted" w:sz="4" w:space="0" w:color="000000"/>
            </w:tcBorders>
            <w:vAlign w:val="center"/>
          </w:tcPr>
          <w:p w14:paraId="050F692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1,273</w:t>
            </w:r>
          </w:p>
        </w:tc>
      </w:tr>
      <w:tr w:rsidR="006E052C" w:rsidRPr="006E052C" w14:paraId="1B4A576C" w14:textId="77777777" w:rsidTr="006A632B">
        <w:trPr>
          <w:gridAfter w:val="1"/>
          <w:wAfter w:w="85" w:type="dxa"/>
          <w:trHeight w:val="20"/>
          <w:jc w:val="center"/>
        </w:trPr>
        <w:tc>
          <w:tcPr>
            <w:tcW w:w="895" w:type="dxa"/>
            <w:tcBorders>
              <w:top w:val="dotted" w:sz="4" w:space="0" w:color="000000"/>
              <w:bottom w:val="dotted" w:sz="4" w:space="0" w:color="000000"/>
            </w:tcBorders>
          </w:tcPr>
          <w:p w14:paraId="5383E3FF"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X1*M</w:t>
            </w:r>
          </w:p>
        </w:tc>
        <w:tc>
          <w:tcPr>
            <w:tcW w:w="989" w:type="dxa"/>
            <w:tcBorders>
              <w:top w:val="dotted" w:sz="4" w:space="0" w:color="000000"/>
              <w:bottom w:val="dotted" w:sz="4" w:space="0" w:color="000000"/>
            </w:tcBorders>
            <w:vAlign w:val="center"/>
          </w:tcPr>
          <w:p w14:paraId="05CE81C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0,130*</w:t>
            </w:r>
          </w:p>
        </w:tc>
        <w:tc>
          <w:tcPr>
            <w:tcW w:w="1441" w:type="dxa"/>
            <w:tcBorders>
              <w:top w:val="dotted" w:sz="4" w:space="0" w:color="000000"/>
              <w:bottom w:val="dotted" w:sz="4" w:space="0" w:color="000000"/>
            </w:tcBorders>
            <w:vAlign w:val="center"/>
          </w:tcPr>
          <w:p w14:paraId="5E55AED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0,056</w:t>
            </w:r>
          </w:p>
        </w:tc>
        <w:tc>
          <w:tcPr>
            <w:tcW w:w="808" w:type="dxa"/>
            <w:tcBorders>
              <w:top w:val="dotted" w:sz="4" w:space="0" w:color="000000"/>
              <w:bottom w:val="dotted" w:sz="4" w:space="0" w:color="000000"/>
            </w:tcBorders>
            <w:vAlign w:val="center"/>
          </w:tcPr>
          <w:p w14:paraId="18208DF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2,321</w:t>
            </w:r>
          </w:p>
        </w:tc>
        <w:tc>
          <w:tcPr>
            <w:tcW w:w="720" w:type="dxa"/>
            <w:tcBorders>
              <w:top w:val="dotted" w:sz="4" w:space="0" w:color="000000"/>
              <w:bottom w:val="dotted" w:sz="4" w:space="0" w:color="000000"/>
            </w:tcBorders>
            <w:vAlign w:val="center"/>
          </w:tcPr>
          <w:p w14:paraId="33F3619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0,021</w:t>
            </w:r>
          </w:p>
        </w:tc>
        <w:tc>
          <w:tcPr>
            <w:tcW w:w="990" w:type="dxa"/>
            <w:tcBorders>
              <w:top w:val="dotted" w:sz="4" w:space="0" w:color="000000"/>
              <w:bottom w:val="dotted" w:sz="4" w:space="0" w:color="000000"/>
            </w:tcBorders>
            <w:vAlign w:val="center"/>
          </w:tcPr>
          <w:p w14:paraId="1AF30F4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0,625</w:t>
            </w:r>
          </w:p>
        </w:tc>
        <w:tc>
          <w:tcPr>
            <w:tcW w:w="720" w:type="dxa"/>
            <w:tcBorders>
              <w:top w:val="dotted" w:sz="4" w:space="0" w:color="000000"/>
              <w:bottom w:val="dotted" w:sz="4" w:space="0" w:color="000000"/>
            </w:tcBorders>
            <w:vAlign w:val="center"/>
          </w:tcPr>
          <w:p w14:paraId="799D1C0F"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1,601</w:t>
            </w:r>
          </w:p>
        </w:tc>
      </w:tr>
      <w:tr w:rsidR="006E052C" w:rsidRPr="006E052C" w14:paraId="28728755" w14:textId="77777777" w:rsidTr="006A632B">
        <w:trPr>
          <w:gridAfter w:val="1"/>
          <w:wAfter w:w="85" w:type="dxa"/>
          <w:trHeight w:val="20"/>
          <w:jc w:val="center"/>
        </w:trPr>
        <w:tc>
          <w:tcPr>
            <w:tcW w:w="895" w:type="dxa"/>
            <w:tcBorders>
              <w:top w:val="dotted" w:sz="4" w:space="0" w:color="000000"/>
              <w:bottom w:val="dotted" w:sz="4" w:space="0" w:color="000000"/>
            </w:tcBorders>
          </w:tcPr>
          <w:p w14:paraId="0E089A56"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X2*M</w:t>
            </w:r>
          </w:p>
        </w:tc>
        <w:tc>
          <w:tcPr>
            <w:tcW w:w="989" w:type="dxa"/>
            <w:tcBorders>
              <w:top w:val="dotted" w:sz="4" w:space="0" w:color="000000"/>
              <w:bottom w:val="dotted" w:sz="4" w:space="0" w:color="000000"/>
            </w:tcBorders>
            <w:vAlign w:val="center"/>
          </w:tcPr>
          <w:p w14:paraId="7B158F6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-0,101*</w:t>
            </w:r>
          </w:p>
        </w:tc>
        <w:tc>
          <w:tcPr>
            <w:tcW w:w="1441" w:type="dxa"/>
            <w:tcBorders>
              <w:top w:val="dotted" w:sz="4" w:space="0" w:color="000000"/>
              <w:bottom w:val="dotted" w:sz="4" w:space="0" w:color="000000"/>
            </w:tcBorders>
            <w:vAlign w:val="center"/>
          </w:tcPr>
          <w:p w14:paraId="052AA10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0,047</w:t>
            </w:r>
          </w:p>
        </w:tc>
        <w:tc>
          <w:tcPr>
            <w:tcW w:w="808" w:type="dxa"/>
            <w:tcBorders>
              <w:top w:val="dotted" w:sz="4" w:space="0" w:color="000000"/>
              <w:bottom w:val="dotted" w:sz="4" w:space="0" w:color="000000"/>
            </w:tcBorders>
            <w:vAlign w:val="center"/>
          </w:tcPr>
          <w:p w14:paraId="4F6F8DB0"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-2,168</w:t>
            </w:r>
          </w:p>
        </w:tc>
        <w:tc>
          <w:tcPr>
            <w:tcW w:w="720" w:type="dxa"/>
            <w:tcBorders>
              <w:top w:val="dotted" w:sz="4" w:space="0" w:color="000000"/>
              <w:bottom w:val="dotted" w:sz="4" w:space="0" w:color="000000"/>
            </w:tcBorders>
            <w:vAlign w:val="center"/>
          </w:tcPr>
          <w:p w14:paraId="059B691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0,031</w:t>
            </w:r>
          </w:p>
        </w:tc>
        <w:tc>
          <w:tcPr>
            <w:tcW w:w="990" w:type="dxa"/>
            <w:tcBorders>
              <w:top w:val="dotted" w:sz="4" w:space="0" w:color="000000"/>
              <w:bottom w:val="dotted" w:sz="4" w:space="0" w:color="000000"/>
            </w:tcBorders>
            <w:vAlign w:val="center"/>
          </w:tcPr>
          <w:p w14:paraId="361C3EA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0,876</w:t>
            </w:r>
          </w:p>
        </w:tc>
        <w:tc>
          <w:tcPr>
            <w:tcW w:w="720" w:type="dxa"/>
            <w:tcBorders>
              <w:top w:val="dotted" w:sz="4" w:space="0" w:color="000000"/>
              <w:bottom w:val="dotted" w:sz="4" w:space="0" w:color="000000"/>
            </w:tcBorders>
            <w:vAlign w:val="center"/>
          </w:tcPr>
          <w:p w14:paraId="749C3A3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1,141</w:t>
            </w:r>
          </w:p>
        </w:tc>
      </w:tr>
      <w:tr w:rsidR="006E052C" w:rsidRPr="006E052C" w14:paraId="3912321C" w14:textId="77777777" w:rsidTr="006A632B">
        <w:trPr>
          <w:gridAfter w:val="1"/>
          <w:wAfter w:w="85" w:type="dxa"/>
          <w:trHeight w:val="20"/>
          <w:jc w:val="center"/>
        </w:trPr>
        <w:tc>
          <w:tcPr>
            <w:tcW w:w="895" w:type="dxa"/>
            <w:tcBorders>
              <w:top w:val="dotted" w:sz="4" w:space="0" w:color="000000"/>
              <w:bottom w:val="dotted" w:sz="4" w:space="0" w:color="000000"/>
            </w:tcBorders>
          </w:tcPr>
          <w:p w14:paraId="4CBE8DA3"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X3*M</w:t>
            </w:r>
          </w:p>
        </w:tc>
        <w:tc>
          <w:tcPr>
            <w:tcW w:w="989" w:type="dxa"/>
            <w:tcBorders>
              <w:top w:val="dotted" w:sz="4" w:space="0" w:color="000000"/>
              <w:bottom w:val="dotted" w:sz="4" w:space="0" w:color="000000"/>
            </w:tcBorders>
            <w:vAlign w:val="center"/>
          </w:tcPr>
          <w:p w14:paraId="454C842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-0,064</w:t>
            </w:r>
          </w:p>
        </w:tc>
        <w:tc>
          <w:tcPr>
            <w:tcW w:w="1441" w:type="dxa"/>
            <w:tcBorders>
              <w:top w:val="dotted" w:sz="4" w:space="0" w:color="000000"/>
              <w:bottom w:val="dotted" w:sz="4" w:space="0" w:color="000000"/>
            </w:tcBorders>
            <w:vAlign w:val="center"/>
          </w:tcPr>
          <w:p w14:paraId="237783A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0,064</w:t>
            </w:r>
          </w:p>
        </w:tc>
        <w:tc>
          <w:tcPr>
            <w:tcW w:w="808" w:type="dxa"/>
            <w:tcBorders>
              <w:top w:val="dotted" w:sz="4" w:space="0" w:color="000000"/>
              <w:bottom w:val="dotted" w:sz="4" w:space="0" w:color="000000"/>
            </w:tcBorders>
            <w:vAlign w:val="center"/>
          </w:tcPr>
          <w:p w14:paraId="3B022DDA"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-0,997</w:t>
            </w:r>
          </w:p>
        </w:tc>
        <w:tc>
          <w:tcPr>
            <w:tcW w:w="720" w:type="dxa"/>
            <w:tcBorders>
              <w:top w:val="dotted" w:sz="4" w:space="0" w:color="000000"/>
              <w:bottom w:val="dotted" w:sz="4" w:space="0" w:color="000000"/>
            </w:tcBorders>
            <w:vAlign w:val="center"/>
          </w:tcPr>
          <w:p w14:paraId="5DA5E706"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0,320</w:t>
            </w:r>
          </w:p>
        </w:tc>
        <w:tc>
          <w:tcPr>
            <w:tcW w:w="990" w:type="dxa"/>
            <w:tcBorders>
              <w:top w:val="dotted" w:sz="4" w:space="0" w:color="000000"/>
              <w:bottom w:val="dotted" w:sz="4" w:space="0" w:color="000000"/>
            </w:tcBorders>
            <w:vAlign w:val="center"/>
          </w:tcPr>
          <w:p w14:paraId="409CC16C"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0,539</w:t>
            </w:r>
          </w:p>
        </w:tc>
        <w:tc>
          <w:tcPr>
            <w:tcW w:w="720" w:type="dxa"/>
            <w:tcBorders>
              <w:top w:val="dotted" w:sz="4" w:space="0" w:color="000000"/>
              <w:bottom w:val="dotted" w:sz="4" w:space="0" w:color="000000"/>
            </w:tcBorders>
            <w:vAlign w:val="center"/>
          </w:tcPr>
          <w:p w14:paraId="58B529D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1,856</w:t>
            </w:r>
          </w:p>
        </w:tc>
      </w:tr>
      <w:tr w:rsidR="006E052C" w:rsidRPr="006E052C" w14:paraId="6EB331D7" w14:textId="77777777" w:rsidTr="006A632B">
        <w:trPr>
          <w:gridAfter w:val="1"/>
          <w:wAfter w:w="85" w:type="dxa"/>
          <w:trHeight w:val="20"/>
          <w:jc w:val="center"/>
        </w:trPr>
        <w:tc>
          <w:tcPr>
            <w:tcW w:w="895" w:type="dxa"/>
            <w:tcBorders>
              <w:top w:val="dotted" w:sz="4" w:space="0" w:color="000000"/>
              <w:bottom w:val="dotted" w:sz="4" w:space="0" w:color="000000"/>
            </w:tcBorders>
          </w:tcPr>
          <w:p w14:paraId="0A192754"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X4*M</w:t>
            </w:r>
          </w:p>
        </w:tc>
        <w:tc>
          <w:tcPr>
            <w:tcW w:w="989" w:type="dxa"/>
            <w:tcBorders>
              <w:top w:val="dotted" w:sz="4" w:space="0" w:color="000000"/>
              <w:bottom w:val="dotted" w:sz="4" w:space="0" w:color="000000"/>
            </w:tcBorders>
            <w:vAlign w:val="center"/>
          </w:tcPr>
          <w:p w14:paraId="02067C1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0,067</w:t>
            </w:r>
          </w:p>
        </w:tc>
        <w:tc>
          <w:tcPr>
            <w:tcW w:w="1441" w:type="dxa"/>
            <w:tcBorders>
              <w:top w:val="dotted" w:sz="4" w:space="0" w:color="000000"/>
              <w:bottom w:val="dotted" w:sz="4" w:space="0" w:color="000000"/>
            </w:tcBorders>
            <w:vAlign w:val="center"/>
          </w:tcPr>
          <w:p w14:paraId="4DD419A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0,061</w:t>
            </w:r>
          </w:p>
        </w:tc>
        <w:tc>
          <w:tcPr>
            <w:tcW w:w="808" w:type="dxa"/>
            <w:tcBorders>
              <w:top w:val="dotted" w:sz="4" w:space="0" w:color="000000"/>
              <w:bottom w:val="dotted" w:sz="4" w:space="0" w:color="000000"/>
            </w:tcBorders>
            <w:vAlign w:val="center"/>
          </w:tcPr>
          <w:p w14:paraId="5CE939E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1,102</w:t>
            </w:r>
          </w:p>
        </w:tc>
        <w:tc>
          <w:tcPr>
            <w:tcW w:w="720" w:type="dxa"/>
            <w:tcBorders>
              <w:top w:val="dotted" w:sz="4" w:space="0" w:color="000000"/>
              <w:bottom w:val="dotted" w:sz="4" w:space="0" w:color="000000"/>
            </w:tcBorders>
            <w:vAlign w:val="center"/>
          </w:tcPr>
          <w:p w14:paraId="7A5FCED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0,272</w:t>
            </w:r>
          </w:p>
        </w:tc>
        <w:tc>
          <w:tcPr>
            <w:tcW w:w="990" w:type="dxa"/>
            <w:tcBorders>
              <w:top w:val="dotted" w:sz="4" w:space="0" w:color="000000"/>
              <w:bottom w:val="dotted" w:sz="4" w:space="0" w:color="000000"/>
            </w:tcBorders>
            <w:vAlign w:val="center"/>
          </w:tcPr>
          <w:p w14:paraId="488E686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0,650</w:t>
            </w:r>
          </w:p>
        </w:tc>
        <w:tc>
          <w:tcPr>
            <w:tcW w:w="720" w:type="dxa"/>
            <w:tcBorders>
              <w:top w:val="dotted" w:sz="4" w:space="0" w:color="000000"/>
              <w:bottom w:val="dotted" w:sz="4" w:space="0" w:color="000000"/>
            </w:tcBorders>
            <w:vAlign w:val="center"/>
          </w:tcPr>
          <w:p w14:paraId="1A489CC7"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1,537</w:t>
            </w:r>
          </w:p>
        </w:tc>
      </w:tr>
      <w:tr w:rsidR="006E052C" w:rsidRPr="006E052C" w14:paraId="49B1098C" w14:textId="77777777" w:rsidTr="006A632B">
        <w:trPr>
          <w:gridAfter w:val="1"/>
          <w:wAfter w:w="85" w:type="dxa"/>
          <w:trHeight w:val="20"/>
          <w:jc w:val="center"/>
        </w:trPr>
        <w:tc>
          <w:tcPr>
            <w:tcW w:w="895" w:type="dxa"/>
            <w:tcBorders>
              <w:top w:val="dotted" w:sz="4" w:space="0" w:color="000000"/>
              <w:bottom w:val="dotted" w:sz="4" w:space="0" w:color="000000"/>
            </w:tcBorders>
          </w:tcPr>
          <w:p w14:paraId="6B8C041B"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X5*M</w:t>
            </w:r>
          </w:p>
        </w:tc>
        <w:tc>
          <w:tcPr>
            <w:tcW w:w="989" w:type="dxa"/>
            <w:tcBorders>
              <w:top w:val="dotted" w:sz="4" w:space="0" w:color="000000"/>
              <w:bottom w:val="dotted" w:sz="4" w:space="0" w:color="000000"/>
            </w:tcBorders>
            <w:vAlign w:val="center"/>
          </w:tcPr>
          <w:p w14:paraId="75867B8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0,046</w:t>
            </w:r>
          </w:p>
        </w:tc>
        <w:tc>
          <w:tcPr>
            <w:tcW w:w="1441" w:type="dxa"/>
            <w:tcBorders>
              <w:top w:val="dotted" w:sz="4" w:space="0" w:color="000000"/>
              <w:bottom w:val="dotted" w:sz="4" w:space="0" w:color="000000"/>
            </w:tcBorders>
            <w:vAlign w:val="center"/>
          </w:tcPr>
          <w:p w14:paraId="433D4C9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0,061</w:t>
            </w:r>
          </w:p>
        </w:tc>
        <w:tc>
          <w:tcPr>
            <w:tcW w:w="808" w:type="dxa"/>
            <w:tcBorders>
              <w:top w:val="dotted" w:sz="4" w:space="0" w:color="000000"/>
              <w:bottom w:val="dotted" w:sz="4" w:space="0" w:color="000000"/>
            </w:tcBorders>
            <w:vAlign w:val="center"/>
          </w:tcPr>
          <w:p w14:paraId="21B054BD"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0,756</w:t>
            </w:r>
          </w:p>
        </w:tc>
        <w:tc>
          <w:tcPr>
            <w:tcW w:w="720" w:type="dxa"/>
            <w:tcBorders>
              <w:top w:val="dotted" w:sz="4" w:space="0" w:color="000000"/>
              <w:bottom w:val="dotted" w:sz="4" w:space="0" w:color="000000"/>
            </w:tcBorders>
            <w:vAlign w:val="center"/>
          </w:tcPr>
          <w:p w14:paraId="04AF9142"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0,451</w:t>
            </w:r>
          </w:p>
        </w:tc>
        <w:tc>
          <w:tcPr>
            <w:tcW w:w="990" w:type="dxa"/>
            <w:tcBorders>
              <w:top w:val="dotted" w:sz="4" w:space="0" w:color="000000"/>
              <w:bottom w:val="dotted" w:sz="4" w:space="0" w:color="000000"/>
            </w:tcBorders>
            <w:vAlign w:val="center"/>
          </w:tcPr>
          <w:p w14:paraId="5E644619"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0,779</w:t>
            </w:r>
          </w:p>
        </w:tc>
        <w:tc>
          <w:tcPr>
            <w:tcW w:w="720" w:type="dxa"/>
            <w:tcBorders>
              <w:top w:val="dotted" w:sz="4" w:space="0" w:color="000000"/>
              <w:bottom w:val="dotted" w:sz="4" w:space="0" w:color="000000"/>
            </w:tcBorders>
            <w:vAlign w:val="center"/>
          </w:tcPr>
          <w:p w14:paraId="47E224F8"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1,283</w:t>
            </w:r>
          </w:p>
        </w:tc>
      </w:tr>
      <w:tr w:rsidR="006E052C" w:rsidRPr="006E052C" w14:paraId="0C93F456" w14:textId="77777777" w:rsidTr="006A632B">
        <w:trPr>
          <w:gridAfter w:val="1"/>
          <w:wAfter w:w="85" w:type="dxa"/>
          <w:trHeight w:val="20"/>
          <w:jc w:val="center"/>
        </w:trPr>
        <w:tc>
          <w:tcPr>
            <w:tcW w:w="895" w:type="dxa"/>
            <w:tcBorders>
              <w:top w:val="dotted" w:sz="4" w:space="0" w:color="000000"/>
              <w:bottom w:val="dotted" w:sz="4" w:space="0" w:color="000000"/>
            </w:tcBorders>
          </w:tcPr>
          <w:p w14:paraId="27C81654"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X6*M</w:t>
            </w:r>
          </w:p>
        </w:tc>
        <w:tc>
          <w:tcPr>
            <w:tcW w:w="989" w:type="dxa"/>
            <w:tcBorders>
              <w:top w:val="dotted" w:sz="4" w:space="0" w:color="000000"/>
              <w:bottom w:val="dotted" w:sz="4" w:space="0" w:color="000000"/>
            </w:tcBorders>
            <w:vAlign w:val="center"/>
          </w:tcPr>
          <w:p w14:paraId="420D5F85"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-0,014</w:t>
            </w:r>
          </w:p>
        </w:tc>
        <w:tc>
          <w:tcPr>
            <w:tcW w:w="1441" w:type="dxa"/>
            <w:tcBorders>
              <w:top w:val="dotted" w:sz="4" w:space="0" w:color="000000"/>
              <w:bottom w:val="dotted" w:sz="4" w:space="0" w:color="000000"/>
            </w:tcBorders>
            <w:vAlign w:val="center"/>
          </w:tcPr>
          <w:p w14:paraId="16164457"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0,057</w:t>
            </w:r>
          </w:p>
        </w:tc>
        <w:tc>
          <w:tcPr>
            <w:tcW w:w="808" w:type="dxa"/>
            <w:tcBorders>
              <w:top w:val="dotted" w:sz="4" w:space="0" w:color="000000"/>
              <w:bottom w:val="dotted" w:sz="4" w:space="0" w:color="000000"/>
            </w:tcBorders>
            <w:vAlign w:val="center"/>
          </w:tcPr>
          <w:p w14:paraId="6F487AF8"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-0,242</w:t>
            </w:r>
          </w:p>
        </w:tc>
        <w:tc>
          <w:tcPr>
            <w:tcW w:w="720" w:type="dxa"/>
            <w:tcBorders>
              <w:top w:val="dotted" w:sz="4" w:space="0" w:color="000000"/>
              <w:bottom w:val="dotted" w:sz="4" w:space="0" w:color="000000"/>
            </w:tcBorders>
            <w:vAlign w:val="center"/>
          </w:tcPr>
          <w:p w14:paraId="4AA2733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0,809</w:t>
            </w:r>
          </w:p>
        </w:tc>
        <w:tc>
          <w:tcPr>
            <w:tcW w:w="990" w:type="dxa"/>
            <w:tcBorders>
              <w:top w:val="dotted" w:sz="4" w:space="0" w:color="000000"/>
              <w:bottom w:val="dotted" w:sz="4" w:space="0" w:color="000000"/>
            </w:tcBorders>
            <w:vAlign w:val="center"/>
          </w:tcPr>
          <w:p w14:paraId="552B711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0,659</w:t>
            </w:r>
          </w:p>
        </w:tc>
        <w:tc>
          <w:tcPr>
            <w:tcW w:w="720" w:type="dxa"/>
            <w:tcBorders>
              <w:top w:val="dotted" w:sz="4" w:space="0" w:color="000000"/>
              <w:bottom w:val="dotted" w:sz="4" w:space="0" w:color="000000"/>
            </w:tcBorders>
            <w:vAlign w:val="center"/>
          </w:tcPr>
          <w:p w14:paraId="7E9DF383"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1,518</w:t>
            </w:r>
          </w:p>
        </w:tc>
      </w:tr>
      <w:tr w:rsidR="006E052C" w:rsidRPr="006E052C" w14:paraId="0EE2480D" w14:textId="77777777" w:rsidTr="006A632B">
        <w:trPr>
          <w:gridAfter w:val="1"/>
          <w:wAfter w:w="85" w:type="dxa"/>
          <w:trHeight w:val="20"/>
          <w:jc w:val="center"/>
        </w:trPr>
        <w:tc>
          <w:tcPr>
            <w:tcW w:w="895" w:type="dxa"/>
            <w:tcBorders>
              <w:top w:val="dotted" w:sz="4" w:space="0" w:color="000000"/>
              <w:bottom w:val="single" w:sz="4" w:space="0" w:color="000000"/>
            </w:tcBorders>
          </w:tcPr>
          <w:p w14:paraId="23113194"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X6*M</w:t>
            </w:r>
          </w:p>
        </w:tc>
        <w:tc>
          <w:tcPr>
            <w:tcW w:w="989" w:type="dxa"/>
            <w:tcBorders>
              <w:top w:val="dotted" w:sz="4" w:space="0" w:color="000000"/>
              <w:bottom w:val="single" w:sz="4" w:space="0" w:color="000000"/>
            </w:tcBorders>
            <w:vAlign w:val="center"/>
          </w:tcPr>
          <w:p w14:paraId="65A7C64B"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-0,004</w:t>
            </w:r>
          </w:p>
        </w:tc>
        <w:tc>
          <w:tcPr>
            <w:tcW w:w="1441" w:type="dxa"/>
            <w:tcBorders>
              <w:top w:val="dotted" w:sz="4" w:space="0" w:color="000000"/>
              <w:bottom w:val="single" w:sz="4" w:space="0" w:color="000000"/>
            </w:tcBorders>
            <w:vAlign w:val="center"/>
          </w:tcPr>
          <w:p w14:paraId="706F08AE"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0,052</w:t>
            </w:r>
          </w:p>
        </w:tc>
        <w:tc>
          <w:tcPr>
            <w:tcW w:w="808" w:type="dxa"/>
            <w:tcBorders>
              <w:top w:val="dotted" w:sz="4" w:space="0" w:color="000000"/>
              <w:bottom w:val="single" w:sz="4" w:space="0" w:color="000000"/>
            </w:tcBorders>
            <w:vAlign w:val="center"/>
          </w:tcPr>
          <w:p w14:paraId="6EACE874"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-0,087</w:t>
            </w:r>
          </w:p>
        </w:tc>
        <w:tc>
          <w:tcPr>
            <w:tcW w:w="720" w:type="dxa"/>
            <w:tcBorders>
              <w:top w:val="dotted" w:sz="4" w:space="0" w:color="000000"/>
              <w:bottom w:val="single" w:sz="4" w:space="0" w:color="000000"/>
            </w:tcBorders>
            <w:vAlign w:val="center"/>
          </w:tcPr>
          <w:p w14:paraId="7A5EA40C"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0,931</w:t>
            </w:r>
          </w:p>
        </w:tc>
        <w:tc>
          <w:tcPr>
            <w:tcW w:w="990" w:type="dxa"/>
            <w:tcBorders>
              <w:top w:val="dotted" w:sz="4" w:space="0" w:color="000000"/>
              <w:bottom w:val="single" w:sz="4" w:space="0" w:color="000000"/>
            </w:tcBorders>
            <w:vAlign w:val="center"/>
          </w:tcPr>
          <w:p w14:paraId="1BC84E95"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0,723</w:t>
            </w:r>
          </w:p>
        </w:tc>
        <w:tc>
          <w:tcPr>
            <w:tcW w:w="720" w:type="dxa"/>
            <w:tcBorders>
              <w:top w:val="dotted" w:sz="4" w:space="0" w:color="000000"/>
              <w:bottom w:val="single" w:sz="4" w:space="0" w:color="000000"/>
            </w:tcBorders>
            <w:vAlign w:val="center"/>
          </w:tcPr>
          <w:p w14:paraId="6E7B6518" w14:textId="77777777" w:rsidR="006A632B" w:rsidRPr="006E052C" w:rsidRDefault="006A632B" w:rsidP="006E052C">
            <w:pPr>
              <w:pBdr>
                <w:top w:val="nil"/>
                <w:left w:val="nil"/>
                <w:bottom w:val="nil"/>
                <w:right w:val="nil"/>
                <w:between w:val="nil"/>
              </w:pBdr>
              <w:spacing w:line="312" w:lineRule="auto"/>
              <w:ind w:firstLine="0"/>
              <w:jc w:val="center"/>
              <w:rPr>
                <w:sz w:val="20"/>
                <w:szCs w:val="20"/>
                <w:highlight w:val="white"/>
              </w:rPr>
            </w:pPr>
            <w:r w:rsidRPr="006E052C">
              <w:rPr>
                <w:sz w:val="20"/>
                <w:szCs w:val="20"/>
                <w:highlight w:val="white"/>
              </w:rPr>
              <w:t>1,384</w:t>
            </w:r>
          </w:p>
        </w:tc>
      </w:tr>
      <w:tr w:rsidR="006E052C" w:rsidRPr="006E052C" w14:paraId="71F60BEB" w14:textId="77777777" w:rsidTr="006A632B">
        <w:trPr>
          <w:trHeight w:val="20"/>
          <w:jc w:val="center"/>
        </w:trPr>
        <w:tc>
          <w:tcPr>
            <w:tcW w:w="6648" w:type="dxa"/>
            <w:gridSpan w:val="8"/>
            <w:tcBorders>
              <w:top w:val="single" w:sz="4" w:space="0" w:color="000000"/>
              <w:left w:val="nil"/>
              <w:bottom w:val="nil"/>
              <w:right w:val="nil"/>
            </w:tcBorders>
          </w:tcPr>
          <w:p w14:paraId="19F2D7CB"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R = 0,758; R</w:t>
            </w:r>
            <w:r w:rsidRPr="006E052C">
              <w:rPr>
                <w:sz w:val="20"/>
                <w:szCs w:val="20"/>
                <w:highlight w:val="white"/>
                <w:vertAlign w:val="superscript"/>
              </w:rPr>
              <w:t>2</w:t>
            </w:r>
            <w:r w:rsidRPr="006E052C">
              <w:rPr>
                <w:sz w:val="20"/>
                <w:szCs w:val="20"/>
                <w:highlight w:val="white"/>
              </w:rPr>
              <w:t xml:space="preserve"> = 0,574; R</w:t>
            </w:r>
            <w:r w:rsidRPr="006E052C">
              <w:rPr>
                <w:sz w:val="20"/>
                <w:szCs w:val="20"/>
                <w:highlight w:val="white"/>
                <w:vertAlign w:val="superscript"/>
              </w:rPr>
              <w:t>2</w:t>
            </w:r>
            <w:r w:rsidRPr="006E052C">
              <w:rPr>
                <w:sz w:val="20"/>
                <w:szCs w:val="20"/>
                <w:highlight w:val="white"/>
              </w:rPr>
              <w:t xml:space="preserve"> hiệu chỉnh = 0,543; </w:t>
            </w:r>
            <w:r w:rsidRPr="006E052C">
              <w:rPr>
                <w:sz w:val="20"/>
                <w:szCs w:val="20"/>
              </w:rPr>
              <w:t>Durbin-Watson = 2,090</w:t>
            </w:r>
          </w:p>
          <w:p w14:paraId="144D3BA6" w14:textId="77777777" w:rsidR="006A632B" w:rsidRPr="006E052C" w:rsidRDefault="006A632B" w:rsidP="006E052C">
            <w:pPr>
              <w:pBdr>
                <w:top w:val="nil"/>
                <w:left w:val="nil"/>
                <w:bottom w:val="nil"/>
                <w:right w:val="nil"/>
                <w:between w:val="nil"/>
              </w:pBdr>
              <w:spacing w:line="312" w:lineRule="auto"/>
              <w:ind w:firstLine="0"/>
              <w:jc w:val="left"/>
              <w:rPr>
                <w:sz w:val="20"/>
                <w:szCs w:val="20"/>
                <w:highlight w:val="white"/>
              </w:rPr>
            </w:pPr>
            <w:r w:rsidRPr="006E052C">
              <w:rPr>
                <w:sz w:val="20"/>
                <w:szCs w:val="20"/>
                <w:highlight w:val="white"/>
              </w:rPr>
              <w:t>Sai số = 0,676; F = 18,165; Sig.= 0,000.</w:t>
            </w:r>
          </w:p>
        </w:tc>
      </w:tr>
    </w:tbl>
    <w:p w14:paraId="0F4AD6CA" w14:textId="47BF0EBB" w:rsidR="006A632B" w:rsidRPr="006E052C" w:rsidRDefault="006A632B" w:rsidP="006E052C">
      <w:pPr>
        <w:spacing w:line="312" w:lineRule="auto"/>
      </w:pPr>
      <w:r w:rsidRPr="006E052C">
        <w:lastRenderedPageBreak/>
        <w:t>Dựa trên kết quả phân tích hồi quy bội, tác giả thực hiện kiểm định các giả thuyết liên quan đến từng biến độc lập. Cụ thể: Giả thuyết H1, H2, H4, H5, H6 được khẳng định đúng; giả thuyết H3 không được ủng hộ; trong khi giả thuyết H5 được ủng hộ một phần: chính sách phát triển kinh tế xanh của Chính phủ chỉ có tác động điều tiết với hành vi đầu tư đổi mới sáng tạo xanh và hành vi đầu tư phát triển năng lực xanh của doanh nghiệp FDI trên địa bàn Tp. Hà Nội, nhưng với vai trò điều tiết ngược nhau.</w:t>
      </w:r>
    </w:p>
    <w:p w14:paraId="51036FA5" w14:textId="2E64B410" w:rsidR="00344644" w:rsidRPr="006E052C" w:rsidRDefault="00344644" w:rsidP="006E052C">
      <w:pPr>
        <w:pStyle w:val="Heading2"/>
        <w:spacing w:line="312" w:lineRule="auto"/>
      </w:pPr>
      <w:r w:rsidRPr="006E052C">
        <w:t xml:space="preserve">3.3. Thực trạng nội dung hành vi đầu tư xanh của các doanh nghiệp FDI trên địa bàn </w:t>
      </w:r>
      <w:r w:rsidR="007D3B3A" w:rsidRPr="006E052C">
        <w:t>TP. Hà Nội</w:t>
      </w:r>
      <w:r w:rsidRPr="006E052C">
        <w:t xml:space="preserve"> </w:t>
      </w:r>
    </w:p>
    <w:p w14:paraId="48C1FBFB" w14:textId="14182A79" w:rsidR="00BE28F3" w:rsidRPr="006E052C" w:rsidRDefault="00344644" w:rsidP="006E052C">
      <w:pPr>
        <w:pStyle w:val="Heading3"/>
        <w:spacing w:line="312" w:lineRule="auto"/>
      </w:pPr>
      <w:r w:rsidRPr="006E052C">
        <w:t>3.3.1. Thực trạng hành vi đầu tư đổi mới sáng tạo xanh</w:t>
      </w:r>
    </w:p>
    <w:p w14:paraId="7539E61E" w14:textId="440CA7DD" w:rsidR="00344644" w:rsidRPr="006E052C" w:rsidRDefault="00296A6F" w:rsidP="006E052C">
      <w:pPr>
        <w:spacing w:line="312" w:lineRule="auto"/>
        <w:rPr>
          <w:lang w:val="vi"/>
        </w:rPr>
      </w:pPr>
      <w:r w:rsidRPr="006E052C">
        <w:rPr>
          <w:lang w:val="vi"/>
        </w:rPr>
        <w:t xml:space="preserve">Kết quả </w:t>
      </w:r>
      <w:r w:rsidR="006C22A6" w:rsidRPr="006E052C">
        <w:rPr>
          <w:lang w:val="vi"/>
        </w:rPr>
        <w:t xml:space="preserve">nghiên cứu </w:t>
      </w:r>
      <w:r w:rsidRPr="006E052C">
        <w:rPr>
          <w:lang w:val="vi"/>
        </w:rPr>
        <w:t>cho thấy các hành vi đổi mới sáng tạo xanh được thực hiện ở mức khá, nổi bật là phát triển sản phẩm sử dụng nguyên liệu bền vững, cải tiến quy trình sản xuất tiết kiệm năng lượng, tài nguyên và triển khai marketing xanh, với điểm trung bình khoảng 3,15/5. Trong khi đó, đầu tư vào công nghệ xanh mới và thay đổi cơ cấu tổ chức, văn hóa doanh nghiệp mới chỉ đạt mức trung bình do hạn chế về nguồn lực.</w:t>
      </w:r>
    </w:p>
    <w:p w14:paraId="67EA7528" w14:textId="3FE0E2E1" w:rsidR="00296A6F" w:rsidRPr="006E052C" w:rsidRDefault="00296A6F" w:rsidP="006E052C">
      <w:pPr>
        <w:pStyle w:val="Heading3"/>
        <w:spacing w:line="312" w:lineRule="auto"/>
      </w:pPr>
      <w:r w:rsidRPr="006E052C">
        <w:t>3.3.2. Thực trạng hành vi đầu tư năng lực xanh</w:t>
      </w:r>
    </w:p>
    <w:p w14:paraId="39BBAAD3" w14:textId="07E3C6B1" w:rsidR="00296A6F" w:rsidRPr="006E052C" w:rsidRDefault="00296A6F" w:rsidP="006E052C">
      <w:pPr>
        <w:spacing w:line="312" w:lineRule="auto"/>
        <w:rPr>
          <w:lang w:val="vi"/>
        </w:rPr>
      </w:pPr>
      <w:r w:rsidRPr="006E052C">
        <w:rPr>
          <w:lang w:val="vi"/>
        </w:rPr>
        <w:t>Các doanh nghiệp FDI tại Hà Nội đang từng bước đầu tư phát triển năng lực xanh thông qua theo dõi môi trường kinh doanh, phát triển kỹ năng nhận diện công nghệ xanh, nghiên cứu – tiếp thu kiến thức mới và tăng cường phối hợp nội bộ. Tuy nhiên, mức độ đầu tư nhìn chung mới ở mức trung bình, với điểm đánh giá từ 2,81 đến 3,06/5, phản ánh sự thiếu đồng đều và nhiều hạn chế. Dù vậy, một số doanh nghiệp FDI tiêu biểu đã tích cực nghiên cứu, áp dụng công nghệ xanh và xây dựng cơ chế phối hợp nội bộ hiệu quả.</w:t>
      </w:r>
    </w:p>
    <w:p w14:paraId="623AB410" w14:textId="5FBBF941" w:rsidR="00296A6F" w:rsidRPr="006E052C" w:rsidRDefault="00296A6F" w:rsidP="006E052C">
      <w:pPr>
        <w:pStyle w:val="Heading3"/>
        <w:spacing w:line="312" w:lineRule="auto"/>
      </w:pPr>
      <w:r w:rsidRPr="006E052C">
        <w:t>3.3.3. Thực trạng hành vi đầu tư thực hành QTNS xanh</w:t>
      </w:r>
    </w:p>
    <w:p w14:paraId="12FBD966" w14:textId="1E79EE34" w:rsidR="006C22A6" w:rsidRPr="006E052C" w:rsidRDefault="006C22A6" w:rsidP="006E052C">
      <w:pPr>
        <w:spacing w:line="312" w:lineRule="auto"/>
        <w:rPr>
          <w:lang w:val="vi"/>
        </w:rPr>
      </w:pPr>
      <w:r w:rsidRPr="006E052C">
        <w:rPr>
          <w:lang w:val="vi"/>
        </w:rPr>
        <w:t xml:space="preserve">Doanh nghiệp FDI tại Hà Nội ngày càng chú trọng quản trị nhân sự xanh, với điểm trung bình khảo sát từ 2,86–3,62/5. Hoạt động nổi bật là trao quyền cho nhân viên tham gia các sáng kiến bảo vệ môi trường, góp phần hình thành văn hóa xanh. Tuyển dụng, đánh giá và khen thưởng gắn với tiêu chí môi trường mới được một số doanh nghiệp triển khai, trong khi </w:t>
      </w:r>
      <w:r w:rsidRPr="006E052C">
        <w:rPr>
          <w:lang w:val="vi"/>
        </w:rPr>
        <w:lastRenderedPageBreak/>
        <w:t>đào tạo và phát triển nhân sự xanh còn hạn chế do thiếu chuyên gia, chi phí cao và tổ chức chưa thường xuyên.</w:t>
      </w:r>
    </w:p>
    <w:p w14:paraId="2F34E925" w14:textId="0180D763" w:rsidR="00296A6F" w:rsidRPr="006E052C" w:rsidRDefault="00296A6F" w:rsidP="006E052C">
      <w:pPr>
        <w:pStyle w:val="Heading3"/>
        <w:spacing w:line="312" w:lineRule="auto"/>
      </w:pPr>
      <w:r w:rsidRPr="006E052C">
        <w:t>3.3.4. Thực trạng hành vi đầu tư thực hành QTCUU xanh</w:t>
      </w:r>
    </w:p>
    <w:p w14:paraId="6DF76259" w14:textId="7F5C28A4" w:rsidR="006C22A6" w:rsidRPr="006E052C" w:rsidRDefault="006C22A6" w:rsidP="006E052C">
      <w:pPr>
        <w:spacing w:line="312" w:lineRule="auto"/>
        <w:rPr>
          <w:lang w:val="vi"/>
        </w:rPr>
      </w:pPr>
      <w:r w:rsidRPr="006E052C">
        <w:rPr>
          <w:lang w:val="vi"/>
        </w:rPr>
        <w:t>Doanh nghiệp FDI tại Hà Nội thực hiện quản trị chuỗi cung ứng xanh khá hiệu quả, với điểm trung bình trên 3/5, chú trọng mục tiêu môi trường từ nguyên vật liệu đến xử lý sản phẩm thải hồi và ưu tiên nhà cung ứng áp dụng công nghệ sạch. Tuy nhiên, số nhà cung ứng đạt chứng nhận ISO môi trường còn hạn chế, gây khó khăn trong đa dạng hóa nguồn cung và tăng chi phí.</w:t>
      </w:r>
    </w:p>
    <w:p w14:paraId="4BE33BC6" w14:textId="7D8FD984" w:rsidR="00296A6F" w:rsidRPr="006E052C" w:rsidRDefault="00296A6F" w:rsidP="006E052C">
      <w:pPr>
        <w:pStyle w:val="Heading3"/>
        <w:spacing w:line="312" w:lineRule="auto"/>
      </w:pPr>
      <w:r w:rsidRPr="006E052C">
        <w:t>3.3.5. Thực trạng hành vi đầu tư thực hành TNXH với môi trường</w:t>
      </w:r>
    </w:p>
    <w:p w14:paraId="07241E50" w14:textId="6F348D35" w:rsidR="006C22A6" w:rsidRPr="006E052C" w:rsidRDefault="006C22A6" w:rsidP="006E052C">
      <w:pPr>
        <w:spacing w:line="312" w:lineRule="auto"/>
        <w:rPr>
          <w:lang w:val="vi"/>
        </w:rPr>
      </w:pPr>
      <w:r w:rsidRPr="006E052C">
        <w:rPr>
          <w:lang w:val="vi"/>
        </w:rPr>
        <w:t>Các doanh nghiệp FDI tại Hà Nội ngày càng thực hiện trách nhiệm xã hội gắn với môi trường qua các hoạt động từ thiện, dự án xã hội và hỗ trợ tổ chức phi chính phủ, với nhiều doanh nghiệp lớn triển khai chương trình vì cộng đồng và bảo vệ môi trường. Tuy nhiên, mức độ tham gia chưa đồng đều, nhiều hoạt động mang tính ngắn hạn, thiếu chiến lược ESG dài hạn và phối hợp chặt chẽ với chính quyền địa phương.</w:t>
      </w:r>
    </w:p>
    <w:p w14:paraId="2B0B2E76" w14:textId="45D76717" w:rsidR="00296A6F" w:rsidRPr="006E052C" w:rsidRDefault="00296A6F" w:rsidP="006E052C">
      <w:pPr>
        <w:pStyle w:val="Heading3"/>
        <w:spacing w:line="312" w:lineRule="auto"/>
      </w:pPr>
      <w:r w:rsidRPr="006E052C">
        <w:t>3.3.6. Thực trạng hành vi đầu tư thực hành TNXH với cộng đồng</w:t>
      </w:r>
    </w:p>
    <w:p w14:paraId="392DD78F" w14:textId="2810BD55" w:rsidR="006C22A6" w:rsidRPr="006E052C" w:rsidRDefault="006C22A6" w:rsidP="006E052C">
      <w:pPr>
        <w:spacing w:line="312" w:lineRule="auto"/>
        <w:rPr>
          <w:lang w:val="vi"/>
        </w:rPr>
      </w:pPr>
      <w:r w:rsidRPr="006E052C">
        <w:rPr>
          <w:lang w:val="vi"/>
        </w:rPr>
        <w:t>Các doanh nghiệp FDI tại Hà Nội đã thực hiện trách nhiệm xã hội với cộng đồng qua các dự án môi trường, y tế, giáo dục và đào tạo, góp phần phát triển bền vững. Tuy nhiên, mức độ cam kết dài hạn còn hạn chế, các hoạt động xanh còn nhỏ lẻ, thiếu hệ thống và cần chiến lược dài hạn cùng phối hợp chặt chẽ hơn với cộng đồng.</w:t>
      </w:r>
    </w:p>
    <w:p w14:paraId="3BB86A6A" w14:textId="4424992B" w:rsidR="00296A6F" w:rsidRPr="006E052C" w:rsidRDefault="00296A6F" w:rsidP="006E052C">
      <w:pPr>
        <w:pStyle w:val="Heading2"/>
        <w:spacing w:line="312" w:lineRule="auto"/>
      </w:pPr>
      <w:r w:rsidRPr="006E052C">
        <w:t xml:space="preserve">3.4. Phân tích các yếu tố ảnh hưởng đến hành vi đầu tư xanh của các doanh nghiệp FDI trên địa bàn </w:t>
      </w:r>
      <w:r w:rsidR="007D3B3A" w:rsidRPr="006E052C">
        <w:t>TP. Hà Nội</w:t>
      </w:r>
    </w:p>
    <w:p w14:paraId="4568D874" w14:textId="2CD7470B" w:rsidR="00296A6F" w:rsidRPr="006E052C" w:rsidRDefault="00296A6F" w:rsidP="006E052C">
      <w:pPr>
        <w:pStyle w:val="Heading3"/>
        <w:spacing w:line="312" w:lineRule="auto"/>
      </w:pPr>
      <w:r w:rsidRPr="006E052C">
        <w:t>3.4.1. Phân tích các yếu tố ảnh hưởng thuộc đặc điểm công ty mẹ của các doanh nghiệp FDI</w:t>
      </w:r>
    </w:p>
    <w:p w14:paraId="07703A3B" w14:textId="4CE38AC3" w:rsidR="00296A6F" w:rsidRPr="006E052C" w:rsidRDefault="00296A6F" w:rsidP="006E052C">
      <w:pPr>
        <w:spacing w:line="312" w:lineRule="auto"/>
        <w:rPr>
          <w:lang w:val="vi"/>
        </w:rPr>
      </w:pPr>
      <w:r w:rsidRPr="006E052C">
        <w:rPr>
          <w:lang w:val="vi"/>
        </w:rPr>
        <w:t xml:space="preserve">Nhận thức về phát triển bền vững và đầu tư xanh của doanh nghiệp FDI tại Hà Nội ngày càng được nâng cao, thể hiện qua xu hướng dịch chuyển sang tăng trưởng xanh, đóng góp lớn cho GDP, việc làm và chuyển đổi hành vi sản xuất – tiêu dùng. Tuy nhiên, thực tế vẫn tồn tại nhiều hạn chế </w:t>
      </w:r>
      <w:r w:rsidRPr="006E052C">
        <w:rPr>
          <w:lang w:val="vi"/>
        </w:rPr>
        <w:lastRenderedPageBreak/>
        <w:t>như nhận thức chưa đồng đều, ô nhiễm môi trường gia tăng, công nghệ lạc hậu, năng lực R&amp;D thấp và thiếu nguồn nhân lực chất lượng cao.</w:t>
      </w:r>
    </w:p>
    <w:p w14:paraId="087DA3F0" w14:textId="3FB515A6" w:rsidR="00296A6F" w:rsidRPr="006E052C" w:rsidRDefault="00296A6F" w:rsidP="006E052C">
      <w:pPr>
        <w:pStyle w:val="Heading3"/>
        <w:spacing w:line="312" w:lineRule="auto"/>
      </w:pPr>
      <w:r w:rsidRPr="006E052C">
        <w:t>3.4.2. Phân tích các yếu tố môi trường vĩ mô và môi trường ngành tại Hà Nội</w:t>
      </w:r>
    </w:p>
    <w:p w14:paraId="78447A6B" w14:textId="407898B5" w:rsidR="00F74900" w:rsidRPr="006E052C" w:rsidRDefault="00F74900" w:rsidP="006E052C">
      <w:pPr>
        <w:spacing w:line="312" w:lineRule="auto"/>
        <w:rPr>
          <w:lang w:val="vi"/>
        </w:rPr>
      </w:pPr>
      <w:r w:rsidRPr="006E052C">
        <w:rPr>
          <w:lang w:val="vi"/>
        </w:rPr>
        <w:t xml:space="preserve">Môi trường vĩ mô Hà Nội thuận lợi cho đầu tư xanh của FDI nhờ ổn định chính trị – pháp lý, chính sách ưu đãi, cải cách thủ tục, quy mô thị trường lớn, đô thị hóa nhanh và hạ tầng – công nghệ ngày càng hoàn thiện. Xu hướng tiêu dùng xanh và chuyển dịch văn hóa xã hội cũng thúc đẩy doanh nghiệp áp dụng mô hình thân thiện môi trường, nhưng </w:t>
      </w:r>
      <w:r w:rsidR="00C27C6F" w:rsidRPr="006E052C">
        <w:rPr>
          <w:lang w:val="vi"/>
        </w:rPr>
        <w:t xml:space="preserve">gặp nhiều </w:t>
      </w:r>
      <w:r w:rsidRPr="006E052C">
        <w:rPr>
          <w:lang w:val="vi"/>
        </w:rPr>
        <w:t>hạn chế về nguồn nhân lực chất lượng cao</w:t>
      </w:r>
      <w:r w:rsidR="00C27C6F" w:rsidRPr="006E052C">
        <w:rPr>
          <w:lang w:val="vi"/>
        </w:rPr>
        <w:t>.</w:t>
      </w:r>
    </w:p>
    <w:p w14:paraId="392E536A" w14:textId="16822FDF" w:rsidR="00296A6F" w:rsidRPr="006E052C" w:rsidRDefault="00296A6F" w:rsidP="006E052C">
      <w:pPr>
        <w:pStyle w:val="Heading3"/>
        <w:spacing w:line="312" w:lineRule="auto"/>
      </w:pPr>
      <w:r w:rsidRPr="006E052C">
        <w:t xml:space="preserve">3.4.3. Phân tích các yếu tố ảnh hưởng thuộc đặc điểm </w:t>
      </w:r>
      <w:r w:rsidR="005F3D69" w:rsidRPr="006E052C">
        <w:t>DN</w:t>
      </w:r>
      <w:r w:rsidRPr="006E052C">
        <w:t xml:space="preserve"> FDI</w:t>
      </w:r>
    </w:p>
    <w:p w14:paraId="5DD2A6D7" w14:textId="52327724" w:rsidR="00296A6F" w:rsidRPr="006E052C" w:rsidRDefault="00F74900" w:rsidP="006E052C">
      <w:pPr>
        <w:spacing w:line="312" w:lineRule="auto"/>
        <w:rPr>
          <w:lang w:val="vi"/>
        </w:rPr>
      </w:pPr>
      <w:r w:rsidRPr="006E052C">
        <w:rPr>
          <w:lang w:val="vi"/>
        </w:rPr>
        <w:t>Các đặc điểm nội tại của doanh nghiệp FDI ảnh hưởng đến hành vi xanh tại Hà Nội: doanh nghiệp 100% vốn nước ngoài phụ thuộc quyết định phát triển bền vững của nhà đầu tư nước ngoài, trong khi liên doanh hoặc doanh nghiệp có vốn Việt Nam lớn thuận lợi hơn cho hành vi xanh. Thâm niên, thương hiệu và tiềm lực tài chính mạnh giúp doanh nghiệp chủ động duy trì đầu tư xanh ngay cả trong khủng hoảng. Chiến lược phát triển bền vững gắn với quản trị hiệu quả là yếu tố then chốt đảm bảo hành vi xanh nhất quán và lan tỏa.</w:t>
      </w:r>
    </w:p>
    <w:p w14:paraId="0056ED86" w14:textId="7BD41673" w:rsidR="002D333C" w:rsidRPr="006E052C" w:rsidRDefault="002D333C" w:rsidP="006E052C">
      <w:pPr>
        <w:pStyle w:val="Heading2"/>
        <w:spacing w:line="312" w:lineRule="auto"/>
      </w:pPr>
      <w:r w:rsidRPr="006E052C">
        <w:t xml:space="preserve">3.5. Đánh giá chung về hành vi đầu tư xanh của các doanh nghiệp FDI trên địa bàn </w:t>
      </w:r>
      <w:r w:rsidR="007D3B3A" w:rsidRPr="006E052C">
        <w:t>TP. Hà Nội</w:t>
      </w:r>
    </w:p>
    <w:p w14:paraId="36D0787B" w14:textId="21E2EC52" w:rsidR="00296A6F" w:rsidRPr="006E052C" w:rsidRDefault="002D333C" w:rsidP="006E052C">
      <w:pPr>
        <w:pStyle w:val="Heading3"/>
        <w:spacing w:line="312" w:lineRule="auto"/>
      </w:pPr>
      <w:r w:rsidRPr="006E052C">
        <w:t>3.5.1. Ưu điểm và tác động tích cực</w:t>
      </w:r>
    </w:p>
    <w:p w14:paraId="4F447E8D" w14:textId="5A420B0D" w:rsidR="00C27C6F" w:rsidRPr="006E052C" w:rsidRDefault="00C27C6F" w:rsidP="006E052C">
      <w:pPr>
        <w:spacing w:line="312" w:lineRule="auto"/>
        <w:rPr>
          <w:lang w:val="vi"/>
        </w:rPr>
      </w:pPr>
      <w:r w:rsidRPr="006E052C">
        <w:rPr>
          <w:lang w:val="vi"/>
        </w:rPr>
        <w:t>Hành vi đầu tư xanh của doanh nghiệp FDI tại Hà Nội tạo tác động tích cực kinh tế – xã hội và môi trường, thúc đẩy phát triển khu công nghiệp sinh thái, bất động sản xanh và nâng cao quản lý môi trường trong thu hút FDI. Đồng thời, FDI xanh khuyến khích doanh nghiệp trong nước áp dụng mô hình kinh tế xanh, tuần hoàn, góp phần thực hiện cam kết phát thải ròng bằng 0, cải thiện môi trường đô thị, sử dụng hiệu quả tài nguyên và tạo việc làm trong các lĩnh vực xanh. Về dài hạn, Hà Nội hưởng lợi từ tăng trưởng bền vững, chuyển giao công nghệ, nâng cao quản trị và củng cố vị thế là điểm đến đầu tư xanh hấp dẫn.</w:t>
      </w:r>
    </w:p>
    <w:p w14:paraId="0A25178D" w14:textId="60695B26" w:rsidR="002D333C" w:rsidRPr="006E052C" w:rsidRDefault="002D333C" w:rsidP="006E052C">
      <w:pPr>
        <w:pStyle w:val="Heading3"/>
        <w:spacing w:line="312" w:lineRule="auto"/>
      </w:pPr>
      <w:r w:rsidRPr="006E052C">
        <w:lastRenderedPageBreak/>
        <w:t>3.5.2. Nhược điểm, tác động tiêu cực</w:t>
      </w:r>
    </w:p>
    <w:p w14:paraId="63614005" w14:textId="1E8D26CC" w:rsidR="00C27C6F" w:rsidRPr="006E052C" w:rsidRDefault="00C27C6F" w:rsidP="006E052C">
      <w:pPr>
        <w:spacing w:line="312" w:lineRule="auto"/>
        <w:rPr>
          <w:lang w:val="vi"/>
        </w:rPr>
      </w:pPr>
      <w:r w:rsidRPr="006E052C">
        <w:rPr>
          <w:lang w:val="vi"/>
        </w:rPr>
        <w:t>Thúc đẩy đầu tư xanh của doanh nghiệp FDI tại Hà Nội gặp nhiều thách thức, bao gồm chi phí đầu tư cao, yêu cầu công nghệ và quản lý phức tạp, áp lực lên hạ tầng và tài chính doanh nghiệp lẫn chính quyền. Hạn chế về công nghệ tiên tiến và nhân lực chất lượng cao làm khó triển khai dự án hiệu quả, đồng thời đầu tư xanh có thể gây cạnh tranh bất cân xứng với doanh nghiệp trong nước và phụ thuộc vào nguồn lực nước ngoài. Tình trạng “xanh hình thức” và chuyển giao công nghệ hạn chế giảm hiệu quả môi trường – xã hội, trong khi kỳ vọng cao về lợi ích kinh tế – xã hội và áp lực tài nguyên tiềm ẩn rủi ro cho phát triển bền vững của Thủ đô.</w:t>
      </w:r>
    </w:p>
    <w:p w14:paraId="32A2DEB2" w14:textId="665B4E74" w:rsidR="002D333C" w:rsidRPr="006E052C" w:rsidRDefault="002D333C" w:rsidP="006E052C">
      <w:pPr>
        <w:pStyle w:val="Heading3"/>
        <w:spacing w:line="312" w:lineRule="auto"/>
      </w:pPr>
      <w:r w:rsidRPr="006E052C">
        <w:t>3.5.3. Nguyên nhân</w:t>
      </w:r>
    </w:p>
    <w:p w14:paraId="6518F7B9" w14:textId="6600CE6D" w:rsidR="00C27C6F" w:rsidRPr="006E052C" w:rsidRDefault="00C27C6F" w:rsidP="006E052C">
      <w:pPr>
        <w:spacing w:line="312" w:lineRule="auto"/>
        <w:rPr>
          <w:lang w:val="vi"/>
        </w:rPr>
      </w:pPr>
      <w:r w:rsidRPr="006E052C">
        <w:rPr>
          <w:lang w:val="vi"/>
        </w:rPr>
        <w:t>Nguồn nhân lực dồi dào nhưng thiếu kỹ năng vận hành công nghệ xanh, buộc doanh nghiệp tăng chi phí đào tạo. Nhận thức lãnh đạo FDI về đầu tư xanh còn hạn chế, hệ thống tiêu chuẩn và định nghĩa FDI xanh chưa đầy đủ, gây khó khăn sàng lọc và giám sát. Quản lý môi trường chưa đồng bộ, pháp luật chồng chéo, chế tài yếu, kiểm tra hậu kiểm chưa hiệu quả. Doanh nghiệp 100% vốn nước ngoài hạn chế lan tỏa kinh nghiệm xanh, cùng với thủ tục phức tạp, chi phí không chính thức, hạn chế về tài chính, công nghệ và cạnh tranh cao khiến đầu tư xanh khó duy trì bền vững.</w:t>
      </w:r>
    </w:p>
    <w:p w14:paraId="10FE2332" w14:textId="77777777" w:rsidR="005F3D69" w:rsidRPr="006E052C" w:rsidRDefault="005F3D69" w:rsidP="006E052C">
      <w:pPr>
        <w:spacing w:line="312" w:lineRule="auto"/>
        <w:rPr>
          <w:lang w:val="vi"/>
        </w:rPr>
      </w:pPr>
    </w:p>
    <w:p w14:paraId="23459CB5" w14:textId="27743DCC" w:rsidR="00BE28F3" w:rsidRPr="006E052C" w:rsidRDefault="00BE28F3" w:rsidP="006E052C">
      <w:pPr>
        <w:pStyle w:val="Heading1"/>
        <w:spacing w:line="312" w:lineRule="auto"/>
      </w:pPr>
      <w:r w:rsidRPr="006E052C">
        <w:t>CHƯƠNG 4</w:t>
      </w:r>
      <w:r w:rsidR="002B3B50" w:rsidRPr="006E052C">
        <w:t xml:space="preserve">: ĐỀ XUẤT GIẢI PHÁP VÀ KIẾN NGHỊ THÚC ĐẨY HÀNH VI ĐẦU TƯ XANH CỦA CÁC DOANH NGHIỆP FDI TRÊN ĐỊA BÀN </w:t>
      </w:r>
      <w:r w:rsidR="007D3B3A" w:rsidRPr="006E052C">
        <w:t>TP. HÀ NỘI</w:t>
      </w:r>
      <w:r w:rsidR="002B3B50" w:rsidRPr="006E052C">
        <w:t xml:space="preserve"> TRONG GIAI ĐOẠN 2025 – 2030, TẦM NHÌN 2050</w:t>
      </w:r>
    </w:p>
    <w:p w14:paraId="6BAC71BF" w14:textId="77777777" w:rsidR="002B3B50" w:rsidRPr="006E052C" w:rsidRDefault="002B3B50" w:rsidP="006E052C">
      <w:pPr>
        <w:pStyle w:val="Heading2"/>
        <w:spacing w:line="312" w:lineRule="auto"/>
      </w:pPr>
      <w:r w:rsidRPr="006E052C">
        <w:t>4.1. Bối cảnh đầu tư trực tiếp nước ngoài trong thời gian tới</w:t>
      </w:r>
    </w:p>
    <w:p w14:paraId="574A1443" w14:textId="77777777" w:rsidR="002B3B50" w:rsidRPr="006E052C" w:rsidRDefault="002B3B50" w:rsidP="006E052C">
      <w:pPr>
        <w:pStyle w:val="Heading3"/>
        <w:spacing w:line="312" w:lineRule="auto"/>
      </w:pPr>
      <w:r w:rsidRPr="006E052C">
        <w:t>4.1.1. Xu hướng FDI xanh trên thế giới và tại Việt Nam</w:t>
      </w:r>
    </w:p>
    <w:p w14:paraId="68BC0773" w14:textId="77777777" w:rsidR="005F3D69" w:rsidRPr="006E052C" w:rsidRDefault="005F3D69" w:rsidP="006E052C">
      <w:pPr>
        <w:spacing w:line="312" w:lineRule="auto"/>
        <w:rPr>
          <w:lang w:val="vi"/>
        </w:rPr>
      </w:pPr>
      <w:r w:rsidRPr="006E052C">
        <w:rPr>
          <w:lang w:val="vi"/>
        </w:rPr>
        <w:t xml:space="preserve">Trong bối cảnh biến đổi khí hậu và bất ổn toàn cầu, dòng vốn FDI suy giảm và dịch chuyển, nhưng FDI xanh và kinh tế xanh trở thành xu thế tất yếu. Nhiều quốc gia tiên phong triển khai chiến lược này, trong khi Việt Nam, với định hướng công nghệ cao, kinh tế tuần hoàn và khung chính </w:t>
      </w:r>
      <w:r w:rsidRPr="006E052C">
        <w:rPr>
          <w:lang w:val="vi"/>
        </w:rPr>
        <w:lastRenderedPageBreak/>
        <w:t>sách rõ ràng, đang từng bước thu hút FDI xanh, dù quy mô và số lượng dự án còn hạn chế.</w:t>
      </w:r>
    </w:p>
    <w:p w14:paraId="0701B72C" w14:textId="5815BA60" w:rsidR="0053021F" w:rsidRPr="006E052C" w:rsidRDefault="0053021F" w:rsidP="006E052C">
      <w:pPr>
        <w:pStyle w:val="Heading3"/>
        <w:spacing w:line="312" w:lineRule="auto"/>
      </w:pPr>
      <w:r w:rsidRPr="006E052C">
        <w:t>4.1.2. Chính sách và xu hướng thu hút FDI của TP Hà Nội</w:t>
      </w:r>
    </w:p>
    <w:p w14:paraId="5ECA7676" w14:textId="3D91073C" w:rsidR="005F3D69" w:rsidRPr="006E052C" w:rsidRDefault="005F3D69" w:rsidP="006E052C">
      <w:pPr>
        <w:spacing w:line="312" w:lineRule="auto"/>
        <w:rPr>
          <w:lang w:val="vi"/>
        </w:rPr>
      </w:pPr>
      <w:r w:rsidRPr="006E052C">
        <w:rPr>
          <w:lang w:val="vi"/>
        </w:rPr>
        <w:t>Hà Nội cần thu hút FDI có chọn lọc bằng xúc tiến đầu tư chủ động, kết nối tập đoàn đa quốc gia và tận dụng FTA, đồng thời hoàn thiện khung pháp lý, ưu đãi vượt trội cho dự án lớn, công nghệ cao và xanh. Cải cách thủ tục hành chính, tăng minh bạch và giảm chi phí là yếu tố then chốt. Thành phố cũng cần giám sát chặt các dự án vi phạm và hỗ trợ doanh nghiệp tháo gỡ khó khăn kịp thời.</w:t>
      </w:r>
    </w:p>
    <w:p w14:paraId="4C454EDA" w14:textId="7A528874" w:rsidR="0053021F" w:rsidRPr="006E052C" w:rsidRDefault="0053021F" w:rsidP="006E052C">
      <w:pPr>
        <w:pStyle w:val="Heading2"/>
        <w:spacing w:line="312" w:lineRule="auto"/>
      </w:pPr>
      <w:r w:rsidRPr="006E052C">
        <w:t xml:space="preserve">4.2. Quan điểm và định hướng đầu tư trực tiếp nước ngoài trên địa bàn </w:t>
      </w:r>
      <w:r w:rsidR="007D3B3A" w:rsidRPr="006E052C">
        <w:t>TP. Hà Nội</w:t>
      </w:r>
      <w:r w:rsidRPr="006E052C">
        <w:t xml:space="preserve"> trong thời gian tới</w:t>
      </w:r>
    </w:p>
    <w:p w14:paraId="6B68C088" w14:textId="19EEDABD" w:rsidR="0053021F" w:rsidRPr="006E052C" w:rsidRDefault="0053021F" w:rsidP="006E052C">
      <w:pPr>
        <w:pStyle w:val="Heading3"/>
        <w:spacing w:line="312" w:lineRule="auto"/>
      </w:pPr>
      <w:r w:rsidRPr="006E052C">
        <w:t>4.2.1. Quan điểm thu hút và thúc đẩy hành vi đầu tư xanh của các doanh nghiệp FDI</w:t>
      </w:r>
    </w:p>
    <w:p w14:paraId="24CE59DF" w14:textId="77777777" w:rsidR="005F3D69" w:rsidRPr="006E052C" w:rsidRDefault="005F3D69" w:rsidP="006E052C">
      <w:pPr>
        <w:spacing w:line="312" w:lineRule="auto"/>
        <w:rPr>
          <w:lang w:val="vi"/>
        </w:rPr>
      </w:pPr>
      <w:r w:rsidRPr="006E052C">
        <w:rPr>
          <w:lang w:val="vi"/>
        </w:rPr>
        <w:t>Hà Nội cần thu hút FDI chiều sâu, có chọn lọc, ưu tiên dự án công nghệ cao, giá trị gia tăng lớn và tập đoàn có khả năng lan tỏa công nghệ. Trọng tâm là tăng FDI công nghệ xanh, hạn chế dự án phát thải cao, đồng thời thúc đẩy năng lượng sạch, dịch vụ môi trường và du lịch xanh, góp phần bảo vệ môi trường và phát triển bền vững.</w:t>
      </w:r>
    </w:p>
    <w:p w14:paraId="073FC071" w14:textId="0F0A1AAC" w:rsidR="0053021F" w:rsidRPr="006E052C" w:rsidRDefault="0053021F" w:rsidP="006E052C">
      <w:pPr>
        <w:pStyle w:val="Heading3"/>
        <w:spacing w:line="312" w:lineRule="auto"/>
      </w:pPr>
      <w:r w:rsidRPr="006E052C">
        <w:t>4.2.2. Một số định hướng thu hút và thúc đẩy hành vi đầu tư xanh của các doanh nghiệp FDI</w:t>
      </w:r>
    </w:p>
    <w:p w14:paraId="0A16EC05" w14:textId="1960FB86" w:rsidR="0053021F" w:rsidRPr="006E052C" w:rsidRDefault="005F3D69" w:rsidP="006E052C">
      <w:pPr>
        <w:spacing w:line="312" w:lineRule="auto"/>
        <w:rPr>
          <w:lang w:val="vi"/>
        </w:rPr>
      </w:pPr>
      <w:r w:rsidRPr="006E052C">
        <w:rPr>
          <w:lang w:val="vi"/>
        </w:rPr>
        <w:t>Chính sách thu hút FDI cần ưu tiên dự án chất lượng cao, công nghệ hiện đại, thân thiện môi trường, đặc biệt trong năng lượng sạch, hạ tầng thông minh và FDI xanh. Cần hoàn thiện tiêu chuẩn môi trường, loại bỏ công nghệ lạc hậu, kiểm soát nhập khẩu máy móc gây ô nhiễm và xây dựng ưu đãi vượt trội cho dự án xanh, công nghệ cao và R&amp;D, kết hợp giám sát trách nhiệm môi trường. Đồng thời, tập trung đào tạo nguồn nhân lực chất lượng cao để quản lý và triển khai hiệu quả FDI xanh.</w:t>
      </w:r>
    </w:p>
    <w:p w14:paraId="0D9D4991" w14:textId="68350BAD" w:rsidR="0053021F" w:rsidRPr="006E052C" w:rsidRDefault="0053021F" w:rsidP="006E052C">
      <w:pPr>
        <w:pStyle w:val="Heading2"/>
        <w:spacing w:line="312" w:lineRule="auto"/>
      </w:pPr>
      <w:r w:rsidRPr="006E052C">
        <w:lastRenderedPageBreak/>
        <w:t xml:space="preserve">4.3. Giải pháp thúc đẩy hành vi đầu tư xanh của các doanh nghiệp FDI trên địa bàn </w:t>
      </w:r>
      <w:r w:rsidR="007D3B3A" w:rsidRPr="006E052C">
        <w:t>TP. Hà Nội</w:t>
      </w:r>
    </w:p>
    <w:p w14:paraId="59C24A7E" w14:textId="661C0642" w:rsidR="0053021F" w:rsidRPr="006E052C" w:rsidRDefault="0053021F" w:rsidP="006E052C">
      <w:pPr>
        <w:pStyle w:val="Heading3"/>
        <w:spacing w:line="312" w:lineRule="auto"/>
      </w:pPr>
      <w:r w:rsidRPr="006E052C">
        <w:t>4.3.1. Giải pháp thúc đẩy hành vi đầu tư đổi mới sáng tạo xanh</w:t>
      </w:r>
    </w:p>
    <w:p w14:paraId="5C7A9409" w14:textId="5AE6B17D" w:rsidR="0053021F" w:rsidRPr="006E052C" w:rsidRDefault="0053021F" w:rsidP="006E052C">
      <w:pPr>
        <w:spacing w:line="312" w:lineRule="auto"/>
        <w:rPr>
          <w:lang w:val="vi"/>
        </w:rPr>
      </w:pPr>
      <w:r w:rsidRPr="006E052C">
        <w:rPr>
          <w:lang w:val="vi"/>
        </w:rPr>
        <w:t>Doanh nghiệp FDI và chính quyền Hà Nội cần phối hợp cải thiện hạ tầng điện, nước, xử lý chất thải, đồng thời khuyến khích sử dụng năng lượng tái tạo và lưới điện thông minh. Bên cạnh đó, cần đơn giản hóa thủ tục hành chính, ưu tiên cấp phép nhanh và hỗ trợ doanh nghiệp tiếp cận các tiêu chuẩn môi trường và ưu đãi đầu tư xanh. Thành phố cũng cần tăng cường cung cấp thông tin, hỗ trợ tín dụng, thuế và hướng dẫn kỹ thuật cho doanh nghiệp FDI. Cuối cùng, khuyến khích hợp tác R&amp;D, đổi mới công nghệ xanh và xem xét thành lập Quỹ đổi mới sáng tạo xanh nhằm hỗ trợ đầu tư bền vững.</w:t>
      </w:r>
    </w:p>
    <w:p w14:paraId="5B08B940" w14:textId="24D9DF1C" w:rsidR="0053021F" w:rsidRPr="006E052C" w:rsidRDefault="0053021F" w:rsidP="006E052C">
      <w:pPr>
        <w:pStyle w:val="Heading3"/>
        <w:spacing w:line="312" w:lineRule="auto"/>
      </w:pPr>
      <w:r w:rsidRPr="006E052C">
        <w:t>4.3.2. Giải pháp thúc đẩy hành vi đầu tư năng lực xanh</w:t>
      </w:r>
    </w:p>
    <w:p w14:paraId="1DCE84E6" w14:textId="48AAF177" w:rsidR="0053021F" w:rsidRPr="006E052C" w:rsidRDefault="0053021F" w:rsidP="006E052C">
      <w:pPr>
        <w:spacing w:line="312" w:lineRule="auto"/>
        <w:rPr>
          <w:lang w:val="vi"/>
        </w:rPr>
      </w:pPr>
      <w:r w:rsidRPr="006E052C">
        <w:rPr>
          <w:lang w:val="vi"/>
        </w:rPr>
        <w:t>Doanh nghiệp FDI tại Hà Nội cần tập trung nâng cao nhận thức, năng lực quản trị và chia sẻ thông tin. Trước hết, doanh nghiệp cần tăng cường nghiên cứu, dự báo thị trường và xu hướng tiêu dùng xanh, đồng thời thay đổi tư duy của đội ngũ lãnh đạo về vai trò tất yếu của chuyển đổi xanh. Bên cạnh đó, cần tích hợp mục tiêu môi trường vào quản trị doanh nghiệp thông qua KPI xanh, ESG và các mô hình quản lý tiên tiến, gắn với hệ thống đo lường, giám sát phát thải bằng công nghệ số. Song song với đó, doanh nghiệp cần đẩy mạnh đào tạo nhân lực xanh, nâng cao năng lực quản lý và kỹ thuật. Cuối cùng, việc cập nhật chính sách và xây dựng mạng lưới chia sẻ thực hành tốt sẽ hỗ trợ doanh nghiệp FDI khai thác hiệu quả các cơ hội đầu tư xanh và phát triển bền vững.</w:t>
      </w:r>
    </w:p>
    <w:p w14:paraId="16083C8E" w14:textId="07B829E2" w:rsidR="0053021F" w:rsidRPr="006E052C" w:rsidRDefault="00F06F98" w:rsidP="006E052C">
      <w:pPr>
        <w:pStyle w:val="Heading3"/>
        <w:spacing w:line="312" w:lineRule="auto"/>
      </w:pPr>
      <w:r w:rsidRPr="006E052C">
        <w:t>4.3.3. Giải pháp thúc đẩy hành vi đầu tư thực hành QTNS xanh</w:t>
      </w:r>
    </w:p>
    <w:p w14:paraId="2A3816C6" w14:textId="1F6907C6" w:rsidR="0053021F" w:rsidRPr="006E052C" w:rsidRDefault="00F06F98" w:rsidP="006E052C">
      <w:pPr>
        <w:spacing w:line="312" w:lineRule="auto"/>
        <w:rPr>
          <w:lang w:val="vi"/>
        </w:rPr>
      </w:pPr>
      <w:r w:rsidRPr="006E052C">
        <w:rPr>
          <w:lang w:val="vi"/>
        </w:rPr>
        <w:t xml:space="preserve">Doanh nghiệp FDI Hà Nội cần đồng bộ các giải pháp về tuyển dụng, đào tạo và xây dựng văn hóa tổ chức; ưu tiên tuyển dụng các vị trí chuyên môn xanh và tích hợp tiêu chí môi trường vào quy trình tuyển dụng, qua đó hình thành thương hiệu nhà tuyển dụng xanh. Đồng thời, cần đầu tư nâng cao kỹ năng xanh cho người lao động thông qua các chương trình đào tạo định kỳ, gắn hành vi xanh với hệ thống đánh giá và khen thưởng. Bên cạnh </w:t>
      </w:r>
      <w:r w:rsidRPr="006E052C">
        <w:rPr>
          <w:lang w:val="vi"/>
        </w:rPr>
        <w:lastRenderedPageBreak/>
        <w:t>đó, việc lồng ghép các mục tiêu bền vững vào chính sách nhân sự, khuyến khích nhân viên tham gia đề xuất sáng kiến xanh và xây dựng cơ chế ghi nhận phù hợp sẽ gia tăng cam kết nội bộ.</w:t>
      </w:r>
    </w:p>
    <w:p w14:paraId="32786FB8" w14:textId="5CDA5EF4" w:rsidR="00F06F98" w:rsidRPr="006E052C" w:rsidRDefault="00F06F98" w:rsidP="006E052C">
      <w:pPr>
        <w:spacing w:line="312" w:lineRule="auto"/>
        <w:ind w:firstLine="0"/>
        <w:rPr>
          <w:rFonts w:eastAsia="Arial" w:cs="Arial"/>
          <w:b/>
          <w:i/>
          <w:szCs w:val="28"/>
          <w:lang w:val="vi"/>
        </w:rPr>
      </w:pPr>
      <w:r w:rsidRPr="006E052C">
        <w:rPr>
          <w:rFonts w:eastAsia="Arial" w:cs="Arial"/>
          <w:b/>
          <w:i/>
          <w:szCs w:val="28"/>
          <w:lang w:val="vi"/>
        </w:rPr>
        <w:t>4.3.4. Giải pháp thúc đẩy hành vi thực hành QTCCU xanh</w:t>
      </w:r>
    </w:p>
    <w:p w14:paraId="571A3834" w14:textId="1062D3B7" w:rsidR="00F06F98" w:rsidRPr="006E052C" w:rsidRDefault="00F06F98" w:rsidP="006E052C">
      <w:pPr>
        <w:spacing w:line="312" w:lineRule="auto"/>
        <w:rPr>
          <w:lang w:val="vi"/>
        </w:rPr>
      </w:pPr>
      <w:r w:rsidRPr="006E052C">
        <w:rPr>
          <w:lang w:val="vi"/>
        </w:rPr>
        <w:t>Các doanh nghiệp FDI tại Hà Nội cần đồng thời hỗ trợ và sàng lọc nhà cung ứng theo tiêu chuẩn môi trường. Trước hết, cần tăng số lượng nhà cung ứng xanh thông qua hỗ trợ tài chính, đào tạo kiến thức và tiêu chuẩn môi trường, giúp họ nâng cấp công nghệ và hệ thống quản lý phát thải. Doanh nghiệp FDI nên xây dựng bộ tiêu chí lựa chọn nhà cung ứng xanh, yêu cầu chứng nhận môi trường, cam kết ESG và thực hiện giám sát định kỳ. Đồng thời, cần ứng dụng công nghệ truy xuất nguồn gốc, quản lý vòng đời sản phẩm và tối ưu logistics xanh nhằm giảm phát thải. Việc thúc đẩy liên kết, liên minh xanh giữa FDI và doanh nghiệp nội địa, cùng đào tạo nhân sự quản lý chuỗi cung ứng, sẽ góp phần nâng cao hiệu quả hợp tác và hướng tới phát triển bền vững.</w:t>
      </w:r>
    </w:p>
    <w:p w14:paraId="3FCA8373" w14:textId="0FE48BFA" w:rsidR="0053021F" w:rsidRPr="006E052C" w:rsidRDefault="00F06F98" w:rsidP="006E052C">
      <w:pPr>
        <w:spacing w:line="312" w:lineRule="auto"/>
        <w:ind w:firstLine="0"/>
        <w:rPr>
          <w:rFonts w:eastAsia="Arial" w:cs="Arial"/>
          <w:b/>
          <w:i/>
          <w:szCs w:val="28"/>
          <w:lang w:val="vi"/>
        </w:rPr>
      </w:pPr>
      <w:r w:rsidRPr="006E052C">
        <w:rPr>
          <w:rFonts w:eastAsia="Arial" w:cs="Arial"/>
          <w:b/>
          <w:i/>
          <w:szCs w:val="28"/>
          <w:lang w:val="vi"/>
        </w:rPr>
        <w:t>4.3.5. Giải pháp thúc đẩy hành vi đầu tư thực hành trách nhiệm xã hội với môi trường</w:t>
      </w:r>
    </w:p>
    <w:p w14:paraId="13E7B902" w14:textId="37A8D22C" w:rsidR="00F06F98" w:rsidRPr="006E052C" w:rsidRDefault="00F06F98" w:rsidP="006E052C">
      <w:pPr>
        <w:spacing w:line="312" w:lineRule="auto"/>
        <w:rPr>
          <w:lang w:val="vi"/>
        </w:rPr>
      </w:pPr>
      <w:r w:rsidRPr="006E052C">
        <w:rPr>
          <w:lang w:val="vi"/>
        </w:rPr>
        <w:t>Doanh nghiệp FDI tại Hà Nội cần xây dựng chiến lược CSR môi trường dài hạn, lồng ghép mục tiêu tiết kiệm năng lượng và giảm phát thải vào định hướng phát triển bền vững. Trên cơ sở đó, doanh nghiệp cần lập kế hoạch cụ thể về ngân sách, lộ trình, hoạt động và chỉ số đánh giá, đồng thời thành lập bộ phận chuyên trách để điều phối thực hiện. Việc khuyến khích sự tham gia của người lao động, nhà cung ứng và phối hợp với chính quyền, tổ chức xã hội sẽ giúp các hoạt động CSR đạt hiệu quả cao hơn. Bên cạnh đó, cần tăng cường truyền thông minh bạch, đa dạng hóa hình thức triển khai để tạo sức lan tỏa trong cộng đồng. Cuối cùng, việc hoàn thiện khung pháp lý và siết chặt chế tài xử phạt các vi phạm môi trường là điều kiện quan trọng để đảm bảo trách nhiệm và tính bền vững của các doanh nghiệp FDI.</w:t>
      </w:r>
    </w:p>
    <w:p w14:paraId="561B3C09" w14:textId="3E8189FF" w:rsidR="00F06F98" w:rsidRPr="006E052C" w:rsidRDefault="00F06F98" w:rsidP="006E052C">
      <w:pPr>
        <w:spacing w:line="312" w:lineRule="auto"/>
        <w:ind w:firstLine="0"/>
        <w:rPr>
          <w:rFonts w:eastAsia="Arial" w:cs="Arial"/>
          <w:b/>
          <w:i/>
          <w:szCs w:val="28"/>
          <w:lang w:val="vi"/>
        </w:rPr>
      </w:pPr>
      <w:r w:rsidRPr="006E052C">
        <w:rPr>
          <w:rFonts w:eastAsia="Arial" w:cs="Arial"/>
          <w:b/>
          <w:i/>
          <w:szCs w:val="28"/>
          <w:lang w:val="vi"/>
        </w:rPr>
        <w:t>4.3.6. Giải pháp thúc đẩy hành vi đầu tư thực hành trách nhiệm xã hội với cộng đồng</w:t>
      </w:r>
    </w:p>
    <w:p w14:paraId="7E8C337D" w14:textId="51FF9979" w:rsidR="00F06F98" w:rsidRPr="006E052C" w:rsidRDefault="00F06F98" w:rsidP="006E052C">
      <w:pPr>
        <w:spacing w:line="312" w:lineRule="auto"/>
        <w:rPr>
          <w:lang w:val="vi"/>
        </w:rPr>
      </w:pPr>
      <w:r w:rsidRPr="006E052C">
        <w:rPr>
          <w:lang w:val="vi"/>
        </w:rPr>
        <w:lastRenderedPageBreak/>
        <w:t>Doanh nghiệp FDI tại Hà Nội cần tăng cường thực hiện trách nhiệm xã hội với cộng đồng thông qua hợp tác với các cơ sở giáo dục, y tế và doanh nghiệp địa phương. Cụ thể, việc phối hợp đào tạo gắn với thực hành, cấp học bổng và nghiên cứu môi trường giúp hình thành nguồn nhân lực phục vụ sản xuất xanh, phát triển bền vững. Đồng thời, doanh nghiệp nên đầu tư cho y tế cộng đồng, nâng cao phúc lợi và chất lượng sống của người dân, nhất là tại khu công nghiệp và vùng khó khăn. Bên cạnh đó, thúc đẩy liên kết với doanh nghiệp nhỏ địa phương nhằm xây dựng chuỗi giá trị bền vững và hỗ trợ chuyển giao công nghệ xanh. Các hoạt động thiện nguyện, phát triển hạ tầng và bảo tồn văn hóa cần được gắn với chiến lược thương hiệu để nâng cao cam kết và hình ảnh doanh nghiệp xanh.</w:t>
      </w:r>
    </w:p>
    <w:p w14:paraId="28B59196" w14:textId="77777777" w:rsidR="00C62782" w:rsidRPr="006E052C" w:rsidRDefault="00C62782" w:rsidP="006E052C">
      <w:pPr>
        <w:pStyle w:val="Heading2"/>
        <w:spacing w:line="312" w:lineRule="auto"/>
      </w:pPr>
      <w:r w:rsidRPr="006E052C">
        <w:t>4.4. Một số kiến nghị</w:t>
      </w:r>
    </w:p>
    <w:p w14:paraId="5D4E523A" w14:textId="77777777" w:rsidR="002B3F1F" w:rsidRPr="006E052C" w:rsidRDefault="002B3F1F" w:rsidP="006E052C">
      <w:pPr>
        <w:pStyle w:val="Heading3"/>
        <w:spacing w:line="312" w:lineRule="auto"/>
      </w:pPr>
      <w:r w:rsidRPr="006E052C">
        <w:t>4.4.1. Kiến nghị đối với Chính phủ</w:t>
      </w:r>
    </w:p>
    <w:p w14:paraId="20B57102" w14:textId="1E34BE6D" w:rsidR="002B3F1F" w:rsidRPr="006E052C" w:rsidRDefault="002B3F1F" w:rsidP="006E052C">
      <w:pPr>
        <w:spacing w:line="312" w:lineRule="auto"/>
      </w:pPr>
      <w:r w:rsidRPr="006E052C">
        <w:rPr>
          <w:lang w:val="vi"/>
        </w:rPr>
        <w:t xml:space="preserve">- </w:t>
      </w:r>
      <w:r w:rsidRPr="006E052C">
        <w:rPr>
          <w:i/>
          <w:iCs/>
          <w:lang w:val="vi"/>
        </w:rPr>
        <w:t>Lộ trình ưu tiên thực thi các giải pháp đề xuất</w:t>
      </w:r>
      <w:r w:rsidRPr="006E052C">
        <w:rPr>
          <w:lang w:val="vi"/>
        </w:rPr>
        <w:t>: Các giải pháp cần được triển khai theo lộ trình ưu tiên để bảo đảm tính khả thi và hiệu quả. Trong ngắn hạn, tập trung vào cải cách thủ tục, nâng cao nhận thức và hỗ trợ doanh nghiệp tiếp cận tiêu chuẩn môi trường nhằm tạo nền tảng thể chế và nhận thức. Trung hạn ưu tiên tích hợp mục tiêu môi trường vào quản trị, phát triển nguồn nhân lực, nâng cấp công nghệ và xây dựng chuỗi cung ứng xanh với vai trò điều phối của chính quyền. Dài hạn hướng tới hình thành hệ sinh thái đầu tư xanh bền vững thông qua phát triển cụm công nghiệp xanh, tài chính xanh và gắn trách nhiệm môi trường vào chiến lược doanh nghiệp FDI.</w:t>
      </w:r>
    </w:p>
    <w:p w14:paraId="344235F1" w14:textId="08AA2962" w:rsidR="002B3F1F" w:rsidRPr="006E052C" w:rsidRDefault="002B3F1F" w:rsidP="006E052C">
      <w:pPr>
        <w:spacing w:line="312" w:lineRule="auto"/>
      </w:pPr>
      <w:r w:rsidRPr="006E052C">
        <w:rPr>
          <w:i/>
          <w:iCs/>
          <w:lang w:val="vi-VN"/>
        </w:rPr>
        <w:t>- Điều kiện thực thi các giải pháp đề xuất và khả năng huy động nguồn lực</w:t>
      </w:r>
      <w:r w:rsidRPr="006E052C">
        <w:t xml:space="preserve">: Việc triển khai các giải pháp thúc đẩy hành vi đầu tư xanh của doanh nghiệp FDI phụ thuộc trước hết vào khuôn khổ thể chế ổn định, minh bạch và năng lực điều hành hiệu quả của chính quyền địa phương, cùng với sự phối hợp liên ngành và vai trò tích cực của các hiệp hội doanh nghiệp trong chuyển hóa chính sách thành hành động. Về nguồn lực, cần sự kết hợp giữa vốn công và tư, trong đó ngân sách nhà nước đóng vai trò vốn mồi cho cải cách thể chế, đào tạo và hạ tầng, còn nguồn lực chủ đạo cho công nghệ </w:t>
      </w:r>
      <w:r w:rsidRPr="006E052C">
        <w:lastRenderedPageBreak/>
        <w:t>xanh và đổi mới sáng tạo đến từ doanh nghiệp, hệ thống tài chính và các tổ chức quốc tế; đồng thời cần cơ chế hỗ trợ phù hợp cho doanh nghiệp FDI quy mô vừa và nhỏ.</w:t>
      </w:r>
    </w:p>
    <w:p w14:paraId="30214121" w14:textId="77777777" w:rsidR="002B3F1F" w:rsidRPr="006E052C" w:rsidRDefault="002B3F1F" w:rsidP="006E052C">
      <w:pPr>
        <w:spacing w:line="312" w:lineRule="auto"/>
        <w:rPr>
          <w:lang w:val="vi"/>
        </w:rPr>
      </w:pPr>
    </w:p>
    <w:p w14:paraId="2E075472" w14:textId="60E26830" w:rsidR="00F06F98" w:rsidRPr="006E052C" w:rsidRDefault="00C62782" w:rsidP="006E052C">
      <w:pPr>
        <w:pStyle w:val="Heading3"/>
        <w:spacing w:line="312" w:lineRule="auto"/>
      </w:pPr>
      <w:r w:rsidRPr="006E052C">
        <w:t>4.4.</w:t>
      </w:r>
      <w:r w:rsidR="002B3F1F" w:rsidRPr="006E052C">
        <w:rPr>
          <w:lang w:val="en-US"/>
        </w:rPr>
        <w:t>2</w:t>
      </w:r>
      <w:r w:rsidRPr="006E052C">
        <w:t>. Kiến nghị đối với Chính phủ</w:t>
      </w:r>
    </w:p>
    <w:p w14:paraId="236CD91A" w14:textId="45E583DC" w:rsidR="00C62782" w:rsidRPr="006E052C" w:rsidRDefault="00482705" w:rsidP="006E052C">
      <w:pPr>
        <w:spacing w:line="312" w:lineRule="auto"/>
        <w:rPr>
          <w:lang w:val="vi"/>
        </w:rPr>
      </w:pPr>
      <w:r w:rsidRPr="006E052C">
        <w:rPr>
          <w:lang w:val="vi"/>
        </w:rPr>
        <w:t>Chính phủ cần định hướng thu hút FDI có chọn lọc, kiên quyết từ chối các dự án gây tổn hại môi trường, tài nguyên và phát triển dài hạn, đồng thời tái cơ cấu nền kinh tế gắn với phát triển nguồn nhân lực và hạ tầng bền vững. Hệ thống pháp luật về đầu tư, môi trường cần được hoàn thiện, đồng bộ và thực thi nghiêm minh, kết hợp tiêu chuẩn xanh, công cụ thuế – phí và chế tài mạnh đối với vi phạm. Bên cạnh đó, cần ưu tiên thu hút FDI công nghệ cao, thúc đẩy chuyển giao công nghệ xanh, nâng cao năng lực thẩm định và giám sát. Nhà nước cũng cần xây dựng cơ chế khuyến khích đầu tư xanh, phát triển hạ tầng năng lượng tái tạo, cải cách thủ tục hành chính, bảo đảm minh bạch, đồng thời tăng cường tuyên truyền, khen thưởng và xử phạt nghiêm để thúc đẩy FDI phát triển theo hướng bền vững.</w:t>
      </w:r>
    </w:p>
    <w:p w14:paraId="592A0237" w14:textId="3CC0AEA1" w:rsidR="00482705" w:rsidRPr="006E052C" w:rsidRDefault="00482705" w:rsidP="006E052C">
      <w:pPr>
        <w:pStyle w:val="Heading3"/>
        <w:spacing w:line="312" w:lineRule="auto"/>
      </w:pPr>
      <w:r w:rsidRPr="006E052C">
        <w:t>4.4.</w:t>
      </w:r>
      <w:r w:rsidR="002B3F1F" w:rsidRPr="006E052C">
        <w:rPr>
          <w:lang w:val="en-US"/>
        </w:rPr>
        <w:t>3</w:t>
      </w:r>
      <w:r w:rsidRPr="006E052C">
        <w:t xml:space="preserve">. Kiến nghị đối với </w:t>
      </w:r>
      <w:r w:rsidR="007D3B3A" w:rsidRPr="006E052C">
        <w:t>TP. Hà Nội</w:t>
      </w:r>
    </w:p>
    <w:p w14:paraId="09DE2E48" w14:textId="6DF8A5EB" w:rsidR="00482705" w:rsidRPr="006E052C" w:rsidRDefault="00482705" w:rsidP="006E052C">
      <w:pPr>
        <w:spacing w:line="312" w:lineRule="auto"/>
        <w:rPr>
          <w:lang w:val="vi"/>
        </w:rPr>
      </w:pPr>
      <w:r w:rsidRPr="006E052C">
        <w:rPr>
          <w:lang w:val="vi"/>
        </w:rPr>
        <w:t xml:space="preserve">UBND </w:t>
      </w:r>
      <w:r w:rsidR="007D3B3A" w:rsidRPr="006E052C">
        <w:rPr>
          <w:lang w:val="vi"/>
        </w:rPr>
        <w:t>TP. Hà Nội</w:t>
      </w:r>
      <w:r w:rsidRPr="006E052C">
        <w:rPr>
          <w:lang w:val="vi"/>
        </w:rPr>
        <w:t xml:space="preserve"> cần tăng cường quản lý, sàng lọc và giám sát chặt chẽ các dự án FDI theo quy hoạch, kiên quyết xử lý và không gia hạn các dự án gây ô nhiễm, sử dụng tài nguyên kém hiệu quả, đồng thời định hướng chuyển đổi sang công nghệ sạch, chế biến sâu. Thành phố cần xây dựng chiến lược phát triển nguồn nhân lực chất lượng cao, đổi mới đào tạo gắn với nhu cầu công nghệ xanh và tăng cường hợp tác giữa doanh nghiệp FDI với cơ sở giáo dục. Song song, Hà Nội cần ưu tiên thu hút FDI xanh, kiểm soát nghiêm công nghệ, bảo vệ tài nguyên, phát triển hạ tầng và năng lượng tái tạo. Đẩy mạnh cải cách thủ tục hành chính, minh bạch hóa môi trường đầu tư, tăng cường truyền thông chính sách và hỗ trợ doanh nghiệp chuyển đổi xanh, đồng thời phát triển các mô hình kinh tế xanh và khu công nghiệp sinh thái để thúc đẩy tăng trưởng bền vững.</w:t>
      </w:r>
    </w:p>
    <w:p w14:paraId="19991120" w14:textId="377A59AF" w:rsidR="00482705" w:rsidRPr="006E052C" w:rsidRDefault="00482705" w:rsidP="006E052C">
      <w:pPr>
        <w:pStyle w:val="Heading3"/>
        <w:spacing w:line="312" w:lineRule="auto"/>
      </w:pPr>
      <w:r w:rsidRPr="006E052C">
        <w:lastRenderedPageBreak/>
        <w:t>4.4.</w:t>
      </w:r>
      <w:r w:rsidR="002B3F1F" w:rsidRPr="006E052C">
        <w:rPr>
          <w:lang w:val="en-US"/>
        </w:rPr>
        <w:t>4</w:t>
      </w:r>
      <w:r w:rsidRPr="006E052C">
        <w:t xml:space="preserve">. Kiến nghị đối với Hiệp hội Doanh nghiệp </w:t>
      </w:r>
      <w:r w:rsidR="00335D78" w:rsidRPr="006E052C">
        <w:t>FDI</w:t>
      </w:r>
    </w:p>
    <w:p w14:paraId="1755E8F2" w14:textId="5AB062B4" w:rsidR="00F06F98" w:rsidRPr="006E052C" w:rsidRDefault="00482705" w:rsidP="006E052C">
      <w:pPr>
        <w:spacing w:line="312" w:lineRule="auto"/>
        <w:rPr>
          <w:lang w:val="vi"/>
        </w:rPr>
      </w:pPr>
      <w:r w:rsidRPr="006E052C">
        <w:rPr>
          <w:lang w:val="vi"/>
        </w:rPr>
        <w:t>Hiệp hội các nhà đầu tư trực tiếp nước ngoài tại Hà Nội cần phát huy vai trò kết nối và dẫn dắt trong thúc đẩy đầu tư xanh thông qua tăng cường tuyên truyền, đào tạo và nâng cao nhận thức cho doanh nghiệp FDI về chủ trương phát triển bền vững, bảo vệ môi trường. Hiệp hội có thể tổ chức các diễn đàn, hội thảo, khảo sát trong và ngoài nước nhằm chia sẻ kinh nghiệm, tiếp cận công nghệ và mô hình đầu tư xanh tiên tiến, đồng thời hỗ trợ doanh nghiệp tuân thủ quy định môi trường. Bên cạnh đó, hiệp hội cần tích cực tham gia góp ý chính sách, vận động các cơ chế ưu đãi cho doanh nghiệp xanh, mở rộng hợp tác quốc tế và kết nối với các viện nghiên cứu, chuyên gia. Việc ứng dụng công nghệ xanh, xây dựng trung tâm đổi mới sáng tạo, cung cấp thông tin và đào tạo cho cả lãnh đạo và người lao động sẽ góp phần thúc đẩy quá trình xanh hóa hoạt động FDI tại Hà Nội.</w:t>
      </w:r>
    </w:p>
    <w:p w14:paraId="6FC9DEAB" w14:textId="77777777" w:rsidR="00482705" w:rsidRPr="006E052C" w:rsidRDefault="00482705" w:rsidP="006E052C">
      <w:pPr>
        <w:spacing w:line="312" w:lineRule="auto"/>
        <w:rPr>
          <w:lang w:val="vi"/>
        </w:rPr>
      </w:pPr>
    </w:p>
    <w:p w14:paraId="0C49AB96" w14:textId="1E1AA621" w:rsidR="001217E1" w:rsidRPr="006E052C" w:rsidRDefault="006E052C" w:rsidP="006E052C">
      <w:pPr>
        <w:pStyle w:val="Heading1"/>
        <w:spacing w:line="312" w:lineRule="auto"/>
      </w:pPr>
      <w:r w:rsidRPr="006E052C">
        <w:br w:type="column"/>
      </w:r>
      <w:r w:rsidR="00BE28F3" w:rsidRPr="006E052C">
        <w:lastRenderedPageBreak/>
        <w:t>KẾT LUẬN</w:t>
      </w:r>
    </w:p>
    <w:p w14:paraId="747063B4" w14:textId="35AE1BCD" w:rsidR="00482705" w:rsidRPr="006E052C" w:rsidRDefault="00482705" w:rsidP="00482705">
      <w:pPr>
        <w:spacing w:line="288" w:lineRule="auto"/>
        <w:rPr>
          <w:lang w:val="vi"/>
        </w:rPr>
      </w:pPr>
      <w:r w:rsidRPr="006E052C">
        <w:rPr>
          <w:lang w:val="vi"/>
        </w:rPr>
        <w:t>Luận án tiếp cận một cách hệ thống hành vi đầu tư xanh của doanh nghiệp FDI trên địa bàn Hà Nội, từ cơ sở lý luận đến xây dựng khung phân tích gồm sáu nhóm hành vi cốt lõi. Từ đó, luận án xây dựng mô hình và giả thuyết nghiên cứu tác động của hành vi đầu tư xanh đến kết quả hoạt động của doanh nghiệp FDI, đồng thời phân tích kinh nghiệm thực tiễn từ các doanh nghiệp lớn tại Indonesia, Trung Quốc, Ấn Độ và Malaysia để rút ra bài học có thể vận dụng cho Việt Nam và Hà Nội.</w:t>
      </w:r>
    </w:p>
    <w:p w14:paraId="73698AC9" w14:textId="23DF1A92" w:rsidR="00976726" w:rsidRPr="006E052C" w:rsidRDefault="00482705" w:rsidP="00482705">
      <w:pPr>
        <w:spacing w:line="288" w:lineRule="auto"/>
        <w:rPr>
          <w:lang w:val="vi"/>
        </w:rPr>
      </w:pPr>
      <w:r w:rsidRPr="006E052C">
        <w:rPr>
          <w:lang w:val="vi"/>
        </w:rPr>
        <w:t xml:space="preserve">Kết quả nghiên cứu cho thấy các hành vi đầu tư xanh đã có chuyển biến tích cực, đặc biệt trong phát triển sản phẩm bền vững, tái chế và sự tham gia của người lao động, song vẫn tồn tại hạn chế về vốn, công nghệ, nhân lực và hỗ trợ chính sách, dẫn đến mức độ cam kết không đồng đều giữa các doanh nghiệp. Trên cơ sở đó, luận án đề xuất các giải pháp cho doanh nghiệp FDI và kiến nghị đối với Chính phủ, </w:t>
      </w:r>
      <w:r w:rsidR="007D3B3A" w:rsidRPr="006E052C">
        <w:rPr>
          <w:lang w:val="vi"/>
        </w:rPr>
        <w:t>TP. Hà Nội</w:t>
      </w:r>
      <w:r w:rsidRPr="006E052C">
        <w:rPr>
          <w:lang w:val="vi"/>
        </w:rPr>
        <w:t xml:space="preserve"> và hiệp hội nhằm thúc đẩy đầu tư xanh giai đoạn 2025–2030, tầm nhìn 2050. Về học thuật và thực tiễn, luận án đóng góp khung lý luận, mô hình nghiên cứu, bằng chứng thực nghiệm và hệ thống giải pháp có giá trị tham khảo cho quản lý và hoạch định chính sách.</w:t>
      </w:r>
    </w:p>
    <w:p w14:paraId="2AB97B5E" w14:textId="77777777" w:rsidR="00482705" w:rsidRPr="006E052C" w:rsidRDefault="00482705" w:rsidP="00482705">
      <w:pPr>
        <w:spacing w:line="288" w:lineRule="auto"/>
        <w:rPr>
          <w:lang w:val="vi"/>
        </w:rPr>
      </w:pPr>
    </w:p>
    <w:p w14:paraId="2C1825CC" w14:textId="76F91C92" w:rsidR="00FD16A8" w:rsidRPr="006E052C" w:rsidRDefault="002858BA" w:rsidP="0080744A">
      <w:pPr>
        <w:pStyle w:val="Heading1"/>
        <w:spacing w:line="288" w:lineRule="auto"/>
      </w:pPr>
      <w:r w:rsidRPr="006E052C">
        <w:t>TÀI LIỆU THAM KHẢO</w:t>
      </w:r>
    </w:p>
    <w:p w14:paraId="5C82C49E" w14:textId="309BEF0F" w:rsidR="00CB4906" w:rsidRPr="006E052C" w:rsidRDefault="002858BA" w:rsidP="0080744A">
      <w:pPr>
        <w:pStyle w:val="Heading1"/>
        <w:spacing w:line="288" w:lineRule="auto"/>
      </w:pPr>
      <w:r w:rsidRPr="006E052C">
        <w:t>PHỤ LỤC</w:t>
      </w:r>
    </w:p>
    <w:p w14:paraId="692EDB34" w14:textId="77777777" w:rsidR="00CB4906" w:rsidRPr="006E052C" w:rsidRDefault="00CB4906">
      <w:pPr>
        <w:spacing w:after="160" w:line="259" w:lineRule="auto"/>
        <w:ind w:firstLine="0"/>
        <w:jc w:val="left"/>
        <w:rPr>
          <w:rFonts w:eastAsiaTheme="majorEastAsia" w:cstheme="majorBidi"/>
          <w:b/>
          <w:szCs w:val="32"/>
          <w:lang w:val="vi"/>
        </w:rPr>
      </w:pPr>
      <w:r w:rsidRPr="006E052C">
        <w:rPr>
          <w:lang w:val="vi"/>
        </w:rPr>
        <w:br w:type="page"/>
      </w:r>
    </w:p>
    <w:p w14:paraId="14E92510" w14:textId="77777777" w:rsidR="00CB4906" w:rsidRPr="006E052C" w:rsidRDefault="00CB4906" w:rsidP="00CB4906">
      <w:pPr>
        <w:pStyle w:val="Heading1"/>
        <w:sectPr w:rsidR="00CB4906" w:rsidRPr="006E052C" w:rsidSect="006E052C">
          <w:headerReference w:type="default" r:id="rId12"/>
          <w:headerReference w:type="first" r:id="rId13"/>
          <w:pgSz w:w="8392" w:h="11907" w:code="11"/>
          <w:pgMar w:top="851" w:right="851" w:bottom="851" w:left="851" w:header="510" w:footer="0" w:gutter="0"/>
          <w:pgNumType w:start="1"/>
          <w:cols w:space="720"/>
          <w:docGrid w:linePitch="360"/>
        </w:sectPr>
      </w:pPr>
    </w:p>
    <w:p w14:paraId="50D27A40" w14:textId="77777777" w:rsidR="00015B04" w:rsidRPr="006E052C" w:rsidRDefault="00015B04" w:rsidP="006E052C">
      <w:pPr>
        <w:spacing w:line="312" w:lineRule="auto"/>
        <w:ind w:firstLine="0"/>
        <w:jc w:val="center"/>
        <w:rPr>
          <w:rFonts w:ascii="Times New Roman Bold" w:hAnsi="Times New Roman Bold"/>
          <w:b/>
          <w:spacing w:val="-2"/>
          <w:szCs w:val="18"/>
          <w:lang w:val="vi"/>
        </w:rPr>
      </w:pPr>
      <w:r w:rsidRPr="006E052C">
        <w:rPr>
          <w:rFonts w:ascii="Times New Roman Bold" w:hAnsi="Times New Roman Bold"/>
          <w:b/>
          <w:szCs w:val="18"/>
          <w:lang w:val="vi"/>
        </w:rPr>
        <w:lastRenderedPageBreak/>
        <w:t>DANH MỤC CÁC BÀI BÁO ĐÃ CÔNG BỐ TRONG THỜI GIAN ĐÀO TẠO TIẾN SĨ CỦA</w:t>
      </w:r>
      <w:r w:rsidRPr="006E052C">
        <w:rPr>
          <w:rFonts w:ascii="Times New Roman Bold" w:hAnsi="Times New Roman Bold"/>
          <w:b/>
          <w:spacing w:val="-2"/>
          <w:szCs w:val="18"/>
          <w:lang w:val="vi"/>
        </w:rPr>
        <w:t xml:space="preserve"> NCS CÓ LIÊN QUAN ĐẾN ĐỀ TÀI LUẬN ÁN</w:t>
      </w:r>
    </w:p>
    <w:p w14:paraId="35A8D034" w14:textId="77777777" w:rsidR="00015B04" w:rsidRPr="006E052C" w:rsidRDefault="00015B04" w:rsidP="00015B04">
      <w:pPr>
        <w:spacing w:line="312" w:lineRule="auto"/>
        <w:rPr>
          <w:spacing w:val="-2"/>
          <w:sz w:val="24"/>
          <w:szCs w:val="20"/>
          <w:lang w:val="vi"/>
        </w:rPr>
      </w:pPr>
    </w:p>
    <w:p w14:paraId="67926487" w14:textId="72885129" w:rsidR="001D5739" w:rsidRPr="006E052C" w:rsidRDefault="001D5739" w:rsidP="006E052C">
      <w:pPr>
        <w:pStyle w:val="ListParagraph"/>
        <w:numPr>
          <w:ilvl w:val="0"/>
          <w:numId w:val="6"/>
        </w:numPr>
        <w:spacing w:before="120" w:after="120" w:line="360" w:lineRule="auto"/>
        <w:ind w:left="714" w:right="170" w:hanging="357"/>
        <w:rPr>
          <w:rFonts w:ascii="Times" w:hAnsi="Times" w:cs="Times"/>
          <w:iCs/>
          <w:sz w:val="24"/>
          <w:lang w:val="vi"/>
        </w:rPr>
      </w:pPr>
      <w:r w:rsidRPr="006E052C">
        <w:rPr>
          <w:rFonts w:ascii="Times" w:hAnsi="Times" w:cs="Times"/>
          <w:iCs/>
          <w:sz w:val="24"/>
          <w:lang w:val="vi"/>
        </w:rPr>
        <w:t>Thúc đẩy hành vi xanh của doanh nghiệp có vốn đầu tư trực tiếp nước ngoài gắn với mục tiêu phát triển bền vững của Việt Nam,</w:t>
      </w:r>
      <w:r w:rsidRPr="006E052C">
        <w:rPr>
          <w:rFonts w:ascii="Times" w:hAnsi="Times" w:cs="Times"/>
          <w:b/>
          <w:bCs/>
          <w:iCs/>
          <w:sz w:val="24"/>
          <w:lang w:val="vi"/>
        </w:rPr>
        <w:t xml:space="preserve"> </w:t>
      </w:r>
      <w:r w:rsidRPr="006E052C">
        <w:rPr>
          <w:rFonts w:ascii="Times" w:hAnsi="Times" w:cs="Times"/>
          <w:iCs/>
          <w:sz w:val="24"/>
          <w:lang w:val="vi"/>
        </w:rPr>
        <w:t>Tạp chí Kinh tế và Dự báo.</w:t>
      </w:r>
    </w:p>
    <w:p w14:paraId="4BABF4B6" w14:textId="4523EA54" w:rsidR="001D5739" w:rsidRPr="006E052C" w:rsidRDefault="001D5739" w:rsidP="006E052C">
      <w:pPr>
        <w:pStyle w:val="ListParagraph"/>
        <w:numPr>
          <w:ilvl w:val="0"/>
          <w:numId w:val="6"/>
        </w:numPr>
        <w:spacing w:before="120" w:after="120" w:line="360" w:lineRule="auto"/>
        <w:ind w:left="714" w:right="170" w:hanging="357"/>
        <w:jc w:val="left"/>
        <w:rPr>
          <w:rFonts w:ascii="Times" w:hAnsi="Times" w:cs="Times"/>
          <w:iCs/>
          <w:sz w:val="24"/>
          <w:lang w:val="vi"/>
        </w:rPr>
      </w:pPr>
      <w:r w:rsidRPr="006E052C">
        <w:rPr>
          <w:rFonts w:ascii="Times" w:hAnsi="Times" w:cs="Times"/>
          <w:iCs/>
          <w:sz w:val="24"/>
          <w:lang w:val="vi"/>
        </w:rPr>
        <w:t xml:space="preserve">Áp dụng các mô hình hành vi đầu tư xanh cho các doanh nghiệp đầu tư trực tiếp nước ngoài tại Việt Nam, Tạp chí Quản lý nhà </w:t>
      </w:r>
    </w:p>
    <w:p w14:paraId="21797371" w14:textId="2EF7B31D" w:rsidR="001D5739" w:rsidRPr="006E052C" w:rsidRDefault="00015B04" w:rsidP="006E052C">
      <w:pPr>
        <w:pStyle w:val="ListParagraph"/>
        <w:numPr>
          <w:ilvl w:val="0"/>
          <w:numId w:val="6"/>
        </w:numPr>
        <w:spacing w:before="120" w:after="120" w:line="360" w:lineRule="auto"/>
        <w:ind w:left="714" w:right="170" w:hanging="357"/>
        <w:rPr>
          <w:rFonts w:ascii="Times" w:hAnsi="Times" w:cs="Times"/>
          <w:iCs/>
          <w:sz w:val="24"/>
          <w:lang w:val="vi"/>
        </w:rPr>
      </w:pPr>
      <w:r w:rsidRPr="006E052C">
        <w:rPr>
          <w:iCs/>
          <w:sz w:val="24"/>
          <w:lang w:val="vi"/>
        </w:rPr>
        <w:t xml:space="preserve"> </w:t>
      </w:r>
      <w:r w:rsidR="001D5739" w:rsidRPr="006E052C">
        <w:rPr>
          <w:rFonts w:ascii="Times" w:hAnsi="Times" w:cs="Times"/>
          <w:iCs/>
          <w:sz w:val="24"/>
          <w:lang w:val="vi"/>
        </w:rPr>
        <w:t xml:space="preserve">Kinh nghiệm quốc tế về hành vi đầu tư xanh và bài học rút ra cho các doanh nghiệp FDI tại Việt Nam, Tạp chí Kinh tế và Dự báo </w:t>
      </w:r>
    </w:p>
    <w:p w14:paraId="1B6D729C" w14:textId="1F2ABB02" w:rsidR="00FD16A8" w:rsidRPr="006E052C" w:rsidRDefault="001D5739" w:rsidP="006E052C">
      <w:pPr>
        <w:pStyle w:val="ListParagraph"/>
        <w:numPr>
          <w:ilvl w:val="0"/>
          <w:numId w:val="6"/>
        </w:numPr>
        <w:spacing w:before="120" w:after="120" w:line="360" w:lineRule="auto"/>
        <w:ind w:left="714" w:right="170" w:hanging="357"/>
        <w:rPr>
          <w:iCs/>
          <w:sz w:val="24"/>
          <w:lang w:val="vi"/>
        </w:rPr>
      </w:pPr>
      <w:r w:rsidRPr="006E052C">
        <w:rPr>
          <w:rFonts w:ascii="Times" w:hAnsi="Times" w:cs="Times"/>
          <w:iCs/>
          <w:sz w:val="24"/>
          <w:lang w:val="vi"/>
        </w:rPr>
        <w:t>Mô hình nghiên cứu tác động của hành vi đầu tư xanh đến kết quả hoạt động của các doanh nghiệp FDI tại Việt Nam,</w:t>
      </w:r>
      <w:r w:rsidRPr="006E052C">
        <w:rPr>
          <w:rFonts w:ascii="Times" w:hAnsi="Times" w:cs="Times"/>
          <w:b/>
          <w:bCs/>
          <w:iCs/>
          <w:sz w:val="24"/>
          <w:lang w:val="vi"/>
        </w:rPr>
        <w:t xml:space="preserve"> </w:t>
      </w:r>
      <w:r w:rsidRPr="006E052C">
        <w:rPr>
          <w:rFonts w:ascii="Times" w:hAnsi="Times" w:cs="Times"/>
          <w:iCs/>
          <w:sz w:val="24"/>
          <w:lang w:val="vi"/>
        </w:rPr>
        <w:t xml:space="preserve">Tạp chí Kinh tế Châu Á – Thái Bình </w:t>
      </w:r>
    </w:p>
    <w:sectPr w:rsidR="00FD16A8" w:rsidRPr="006E052C" w:rsidSect="006E052C">
      <w:headerReference w:type="even" r:id="rId14"/>
      <w:headerReference w:type="default" r:id="rId15"/>
      <w:footerReference w:type="even" r:id="rId16"/>
      <w:footerReference w:type="default" r:id="rId17"/>
      <w:headerReference w:type="first" r:id="rId18"/>
      <w:footerReference w:type="first" r:id="rId19"/>
      <w:pgSz w:w="8392" w:h="11907" w:code="11"/>
      <w:pgMar w:top="1134" w:right="1134" w:bottom="1134" w:left="1134" w:header="510" w:footer="872"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E78B" w14:textId="77777777" w:rsidR="00F662A4" w:rsidRDefault="00F662A4" w:rsidP="00153A13">
      <w:r>
        <w:separator/>
      </w:r>
    </w:p>
  </w:endnote>
  <w:endnote w:type="continuationSeparator" w:id="0">
    <w:p w14:paraId="60713327" w14:textId="77777777" w:rsidR="00F662A4" w:rsidRDefault="00F662A4" w:rsidP="0015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11CB" w14:textId="77777777" w:rsidR="00015B04" w:rsidRDefault="00015B04">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2</w:t>
    </w:r>
    <w:r>
      <w:fldChar w:fldCharType="end"/>
    </w:r>
  </w:p>
  <w:p w14:paraId="48398A90" w14:textId="77777777" w:rsidR="00015B04" w:rsidRDefault="00015B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FA9" w14:textId="77777777" w:rsidR="00015B04" w:rsidRDefault="00015B04">
    <w:pPr>
      <w:pStyle w:val="Footer"/>
      <w:jc w:val="center"/>
    </w:pPr>
  </w:p>
  <w:p w14:paraId="39D7E96A" w14:textId="77777777" w:rsidR="00015B04" w:rsidRDefault="00015B0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762" w14:textId="77777777" w:rsidR="008A28B7" w:rsidRDefault="008A28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1A2" w14:textId="77777777" w:rsidR="008A28B7" w:rsidRDefault="008A28B7" w:rsidP="006E052C">
    <w:pPr>
      <w:pStyle w:val="Footer"/>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9A4E" w14:textId="77777777" w:rsidR="008A28B7" w:rsidRDefault="008A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01F8" w14:textId="77777777" w:rsidR="00F662A4" w:rsidRDefault="00F662A4" w:rsidP="00153A13">
      <w:r>
        <w:separator/>
      </w:r>
    </w:p>
  </w:footnote>
  <w:footnote w:type="continuationSeparator" w:id="0">
    <w:p w14:paraId="01BCC1EA" w14:textId="77777777" w:rsidR="00F662A4" w:rsidRDefault="00F662A4" w:rsidP="0015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71EB" w14:textId="77777777" w:rsidR="006E052C" w:rsidRDefault="006E052C" w:rsidP="00BA02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BF2CEE" w14:textId="77777777" w:rsidR="006E052C" w:rsidRDefault="006E0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BA21" w14:textId="7A538DDF" w:rsidR="00015B04" w:rsidRDefault="00015B04">
    <w:pPr>
      <w:pStyle w:val="Header"/>
      <w:jc w:val="center"/>
    </w:pPr>
  </w:p>
  <w:p w14:paraId="60693A4E" w14:textId="77777777" w:rsidR="00015B04" w:rsidRDefault="00015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DA2C" w14:textId="77777777" w:rsidR="006E052C" w:rsidRDefault="006E052C" w:rsidP="006E052C">
    <w:pPr>
      <w:pStyle w:val="Header"/>
      <w:framePr w:wrap="around" w:vAnchor="text" w:hAnchor="page" w:x="3929" w:y="-140"/>
      <w:rPr>
        <w:rStyle w:val="PageNumber"/>
      </w:rPr>
    </w:pPr>
    <w:r>
      <w:rPr>
        <w:rStyle w:val="PageNumber"/>
      </w:rPr>
      <w:fldChar w:fldCharType="begin"/>
    </w:r>
    <w:r>
      <w:rPr>
        <w:rStyle w:val="PageNumber"/>
      </w:rPr>
      <w:instrText xml:space="preserve">PAGE  </w:instrText>
    </w:r>
    <w:r>
      <w:rPr>
        <w:rStyle w:val="PageNumber"/>
      </w:rPr>
      <w:fldChar w:fldCharType="separate"/>
    </w:r>
    <w:r w:rsidR="0063232A">
      <w:rPr>
        <w:rStyle w:val="PageNumber"/>
        <w:noProof/>
      </w:rPr>
      <w:t>6</w:t>
    </w:r>
    <w:r>
      <w:rPr>
        <w:rStyle w:val="PageNumber"/>
      </w:rPr>
      <w:fldChar w:fldCharType="end"/>
    </w:r>
  </w:p>
  <w:p w14:paraId="4375BF66" w14:textId="77777777" w:rsidR="006E052C" w:rsidRDefault="006E05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1B5C" w14:textId="5D13483C" w:rsidR="00CB4906" w:rsidRDefault="00CB4906">
    <w:pPr>
      <w:pStyle w:val="Header"/>
      <w:jc w:val="center"/>
    </w:pPr>
  </w:p>
  <w:p w14:paraId="1B37E556" w14:textId="77777777" w:rsidR="00015B04" w:rsidRDefault="00015B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E25" w14:textId="77777777" w:rsidR="008A28B7" w:rsidRDefault="008A28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617F" w14:textId="77777777" w:rsidR="008A28B7" w:rsidRPr="00CB4906" w:rsidRDefault="008A28B7" w:rsidP="00CB4906">
    <w:pPr>
      <w:pStyle w:val="Heade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13D0" w14:textId="7E657FBF" w:rsidR="008A28B7" w:rsidRDefault="008A28B7" w:rsidP="008A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6DD"/>
    <w:multiLevelType w:val="multilevel"/>
    <w:tmpl w:val="E0969792"/>
    <w:lvl w:ilvl="0">
      <w:start w:val="1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BF1017"/>
    <w:multiLevelType w:val="hybridMultilevel"/>
    <w:tmpl w:val="423097C8"/>
    <w:lvl w:ilvl="0" w:tplc="4B5C726E">
      <w:start w:val="1"/>
      <w:numFmt w:val="decimal"/>
      <w:lvlText w:val="%1."/>
      <w:lvlJc w:val="left"/>
      <w:pPr>
        <w:ind w:left="5038" w:hanging="360"/>
      </w:pPr>
      <w:rPr>
        <w:rFonts w:hint="default"/>
        <w:b w:val="0"/>
        <w:bCs w:val="0"/>
        <w:i w:val="0"/>
        <w:iCs/>
        <w:sz w:val="25"/>
      </w:rPr>
    </w:lvl>
    <w:lvl w:ilvl="1" w:tplc="04090019" w:tentative="1">
      <w:start w:val="1"/>
      <w:numFmt w:val="lowerLetter"/>
      <w:lvlText w:val="%2."/>
      <w:lvlJc w:val="left"/>
      <w:pPr>
        <w:ind w:left="5758" w:hanging="360"/>
      </w:pPr>
    </w:lvl>
    <w:lvl w:ilvl="2" w:tplc="0409001B" w:tentative="1">
      <w:start w:val="1"/>
      <w:numFmt w:val="lowerRoman"/>
      <w:lvlText w:val="%3."/>
      <w:lvlJc w:val="right"/>
      <w:pPr>
        <w:ind w:left="6478" w:hanging="180"/>
      </w:pPr>
    </w:lvl>
    <w:lvl w:ilvl="3" w:tplc="0409000F" w:tentative="1">
      <w:start w:val="1"/>
      <w:numFmt w:val="decimal"/>
      <w:lvlText w:val="%4."/>
      <w:lvlJc w:val="left"/>
      <w:pPr>
        <w:ind w:left="7198" w:hanging="360"/>
      </w:pPr>
    </w:lvl>
    <w:lvl w:ilvl="4" w:tplc="04090019" w:tentative="1">
      <w:start w:val="1"/>
      <w:numFmt w:val="lowerLetter"/>
      <w:lvlText w:val="%5."/>
      <w:lvlJc w:val="left"/>
      <w:pPr>
        <w:ind w:left="7918" w:hanging="360"/>
      </w:pPr>
    </w:lvl>
    <w:lvl w:ilvl="5" w:tplc="0409001B" w:tentative="1">
      <w:start w:val="1"/>
      <w:numFmt w:val="lowerRoman"/>
      <w:lvlText w:val="%6."/>
      <w:lvlJc w:val="right"/>
      <w:pPr>
        <w:ind w:left="8638" w:hanging="180"/>
      </w:pPr>
    </w:lvl>
    <w:lvl w:ilvl="6" w:tplc="0409000F" w:tentative="1">
      <w:start w:val="1"/>
      <w:numFmt w:val="decimal"/>
      <w:lvlText w:val="%7."/>
      <w:lvlJc w:val="left"/>
      <w:pPr>
        <w:ind w:left="9358" w:hanging="360"/>
      </w:pPr>
    </w:lvl>
    <w:lvl w:ilvl="7" w:tplc="04090019" w:tentative="1">
      <w:start w:val="1"/>
      <w:numFmt w:val="lowerLetter"/>
      <w:lvlText w:val="%8."/>
      <w:lvlJc w:val="left"/>
      <w:pPr>
        <w:ind w:left="10078" w:hanging="360"/>
      </w:pPr>
    </w:lvl>
    <w:lvl w:ilvl="8" w:tplc="0409001B" w:tentative="1">
      <w:start w:val="1"/>
      <w:numFmt w:val="lowerRoman"/>
      <w:lvlText w:val="%9."/>
      <w:lvlJc w:val="right"/>
      <w:pPr>
        <w:ind w:left="10798" w:hanging="180"/>
      </w:pPr>
    </w:lvl>
  </w:abstractNum>
  <w:abstractNum w:abstractNumId="2" w15:restartNumberingAfterBreak="0">
    <w:nsid w:val="43D87720"/>
    <w:multiLevelType w:val="hybridMultilevel"/>
    <w:tmpl w:val="ADF40F3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4A3E5FC6"/>
    <w:multiLevelType w:val="hybridMultilevel"/>
    <w:tmpl w:val="13783AF0"/>
    <w:lvl w:ilvl="0" w:tplc="4596EE78">
      <w:start w:val="3"/>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6C356BB6"/>
    <w:multiLevelType w:val="multilevel"/>
    <w:tmpl w:val="863413D6"/>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898369649">
    <w:abstractNumId w:val="0"/>
  </w:num>
  <w:num w:numId="2" w16cid:durableId="272172033">
    <w:abstractNumId w:val="0"/>
  </w:num>
  <w:num w:numId="3" w16cid:durableId="1659772702">
    <w:abstractNumId w:val="4"/>
  </w:num>
  <w:num w:numId="4" w16cid:durableId="712534408">
    <w:abstractNumId w:val="3"/>
  </w:num>
  <w:num w:numId="5" w16cid:durableId="1380204818">
    <w:abstractNumId w:val="2"/>
  </w:num>
  <w:num w:numId="6" w16cid:durableId="32062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A0"/>
    <w:rsid w:val="00001AAC"/>
    <w:rsid w:val="00005658"/>
    <w:rsid w:val="00015B04"/>
    <w:rsid w:val="00025B42"/>
    <w:rsid w:val="00026E20"/>
    <w:rsid w:val="0002702C"/>
    <w:rsid w:val="00050B85"/>
    <w:rsid w:val="0005306E"/>
    <w:rsid w:val="00053A80"/>
    <w:rsid w:val="00061559"/>
    <w:rsid w:val="00072CBF"/>
    <w:rsid w:val="00072D27"/>
    <w:rsid w:val="00083CDB"/>
    <w:rsid w:val="0008782F"/>
    <w:rsid w:val="00095BCF"/>
    <w:rsid w:val="000F1532"/>
    <w:rsid w:val="001045DB"/>
    <w:rsid w:val="00105716"/>
    <w:rsid w:val="00116BC1"/>
    <w:rsid w:val="001217E1"/>
    <w:rsid w:val="00131623"/>
    <w:rsid w:val="00137F47"/>
    <w:rsid w:val="00140E2C"/>
    <w:rsid w:val="001411F2"/>
    <w:rsid w:val="00153A13"/>
    <w:rsid w:val="00155CCE"/>
    <w:rsid w:val="00156317"/>
    <w:rsid w:val="00161CC5"/>
    <w:rsid w:val="0017422A"/>
    <w:rsid w:val="00186959"/>
    <w:rsid w:val="001B0EB0"/>
    <w:rsid w:val="001C5BC8"/>
    <w:rsid w:val="001D5739"/>
    <w:rsid w:val="001D7228"/>
    <w:rsid w:val="001F5647"/>
    <w:rsid w:val="00234815"/>
    <w:rsid w:val="00252DC7"/>
    <w:rsid w:val="002635BC"/>
    <w:rsid w:val="00265E16"/>
    <w:rsid w:val="00281249"/>
    <w:rsid w:val="002858BA"/>
    <w:rsid w:val="00296A6F"/>
    <w:rsid w:val="002A1DD2"/>
    <w:rsid w:val="002B0A84"/>
    <w:rsid w:val="002B3B50"/>
    <w:rsid w:val="002B3F1F"/>
    <w:rsid w:val="002C6756"/>
    <w:rsid w:val="002C6FD4"/>
    <w:rsid w:val="002C7104"/>
    <w:rsid w:val="002D333C"/>
    <w:rsid w:val="002D62A0"/>
    <w:rsid w:val="002D7B0E"/>
    <w:rsid w:val="002E6B9E"/>
    <w:rsid w:val="00327385"/>
    <w:rsid w:val="00335D78"/>
    <w:rsid w:val="003436D3"/>
    <w:rsid w:val="00344644"/>
    <w:rsid w:val="003575BA"/>
    <w:rsid w:val="00373017"/>
    <w:rsid w:val="003745B4"/>
    <w:rsid w:val="00374B93"/>
    <w:rsid w:val="003829D0"/>
    <w:rsid w:val="00384FF9"/>
    <w:rsid w:val="003A0CBC"/>
    <w:rsid w:val="003A2868"/>
    <w:rsid w:val="003A5F85"/>
    <w:rsid w:val="003B633F"/>
    <w:rsid w:val="003C03D6"/>
    <w:rsid w:val="003C3474"/>
    <w:rsid w:val="003D3D15"/>
    <w:rsid w:val="003E63EF"/>
    <w:rsid w:val="003E6B9A"/>
    <w:rsid w:val="003E7D43"/>
    <w:rsid w:val="003F3F91"/>
    <w:rsid w:val="003F735B"/>
    <w:rsid w:val="003F7620"/>
    <w:rsid w:val="00413DDE"/>
    <w:rsid w:val="004152B3"/>
    <w:rsid w:val="00435F6D"/>
    <w:rsid w:val="00443E5D"/>
    <w:rsid w:val="00456457"/>
    <w:rsid w:val="004575F3"/>
    <w:rsid w:val="00464D99"/>
    <w:rsid w:val="0048082E"/>
    <w:rsid w:val="00482705"/>
    <w:rsid w:val="004878FC"/>
    <w:rsid w:val="00491B78"/>
    <w:rsid w:val="00497293"/>
    <w:rsid w:val="004B071B"/>
    <w:rsid w:val="004B2AD1"/>
    <w:rsid w:val="004C7D81"/>
    <w:rsid w:val="004D754C"/>
    <w:rsid w:val="004D7DEF"/>
    <w:rsid w:val="004E25D8"/>
    <w:rsid w:val="004E6E12"/>
    <w:rsid w:val="0053021F"/>
    <w:rsid w:val="005328F0"/>
    <w:rsid w:val="0054483B"/>
    <w:rsid w:val="0054691C"/>
    <w:rsid w:val="005559EF"/>
    <w:rsid w:val="00556D9E"/>
    <w:rsid w:val="005575DB"/>
    <w:rsid w:val="00561C05"/>
    <w:rsid w:val="00563460"/>
    <w:rsid w:val="005702E6"/>
    <w:rsid w:val="00575B03"/>
    <w:rsid w:val="005812E0"/>
    <w:rsid w:val="005A232E"/>
    <w:rsid w:val="005A32E1"/>
    <w:rsid w:val="005B79B8"/>
    <w:rsid w:val="005C12FC"/>
    <w:rsid w:val="005C5A98"/>
    <w:rsid w:val="005C5B25"/>
    <w:rsid w:val="005C653E"/>
    <w:rsid w:val="005D5EE2"/>
    <w:rsid w:val="005D610A"/>
    <w:rsid w:val="005E134B"/>
    <w:rsid w:val="005F3D69"/>
    <w:rsid w:val="005F4ED5"/>
    <w:rsid w:val="006029CB"/>
    <w:rsid w:val="00603FE8"/>
    <w:rsid w:val="00614BF7"/>
    <w:rsid w:val="00617E11"/>
    <w:rsid w:val="00622452"/>
    <w:rsid w:val="00622818"/>
    <w:rsid w:val="00625598"/>
    <w:rsid w:val="00630B2A"/>
    <w:rsid w:val="0063232A"/>
    <w:rsid w:val="0064060B"/>
    <w:rsid w:val="006562FB"/>
    <w:rsid w:val="006566B5"/>
    <w:rsid w:val="006606AB"/>
    <w:rsid w:val="00664871"/>
    <w:rsid w:val="00670046"/>
    <w:rsid w:val="00672173"/>
    <w:rsid w:val="00685C7C"/>
    <w:rsid w:val="006965A6"/>
    <w:rsid w:val="006A632B"/>
    <w:rsid w:val="006C22A6"/>
    <w:rsid w:val="006C5B74"/>
    <w:rsid w:val="006D2DFD"/>
    <w:rsid w:val="006D3FAC"/>
    <w:rsid w:val="006E052C"/>
    <w:rsid w:val="006E0AA9"/>
    <w:rsid w:val="006E20B1"/>
    <w:rsid w:val="006E6196"/>
    <w:rsid w:val="006E7072"/>
    <w:rsid w:val="006E74F6"/>
    <w:rsid w:val="006F0FEA"/>
    <w:rsid w:val="006F4DC4"/>
    <w:rsid w:val="007177B4"/>
    <w:rsid w:val="00724066"/>
    <w:rsid w:val="00725040"/>
    <w:rsid w:val="0073179B"/>
    <w:rsid w:val="007322E0"/>
    <w:rsid w:val="00740712"/>
    <w:rsid w:val="007565C2"/>
    <w:rsid w:val="00770468"/>
    <w:rsid w:val="007730FA"/>
    <w:rsid w:val="007751C1"/>
    <w:rsid w:val="007A3891"/>
    <w:rsid w:val="007B4283"/>
    <w:rsid w:val="007C437C"/>
    <w:rsid w:val="007C4C2D"/>
    <w:rsid w:val="007D0189"/>
    <w:rsid w:val="007D3B3A"/>
    <w:rsid w:val="007E6F90"/>
    <w:rsid w:val="007E7338"/>
    <w:rsid w:val="007F7C54"/>
    <w:rsid w:val="0080744A"/>
    <w:rsid w:val="0081193D"/>
    <w:rsid w:val="00813227"/>
    <w:rsid w:val="00825724"/>
    <w:rsid w:val="00826A7D"/>
    <w:rsid w:val="00827734"/>
    <w:rsid w:val="00827EC1"/>
    <w:rsid w:val="00830979"/>
    <w:rsid w:val="00841CDB"/>
    <w:rsid w:val="00856C8A"/>
    <w:rsid w:val="008765EC"/>
    <w:rsid w:val="00886DF7"/>
    <w:rsid w:val="008A28B7"/>
    <w:rsid w:val="008B6242"/>
    <w:rsid w:val="008E3AB7"/>
    <w:rsid w:val="008E4B93"/>
    <w:rsid w:val="008E64A1"/>
    <w:rsid w:val="008F0CF8"/>
    <w:rsid w:val="008F43DF"/>
    <w:rsid w:val="008F463E"/>
    <w:rsid w:val="00904489"/>
    <w:rsid w:val="009069CC"/>
    <w:rsid w:val="00907D80"/>
    <w:rsid w:val="00907EEB"/>
    <w:rsid w:val="00921C7C"/>
    <w:rsid w:val="009228E9"/>
    <w:rsid w:val="009422E5"/>
    <w:rsid w:val="00944F1F"/>
    <w:rsid w:val="00952996"/>
    <w:rsid w:val="00952E68"/>
    <w:rsid w:val="0096167E"/>
    <w:rsid w:val="00970CA9"/>
    <w:rsid w:val="009743C4"/>
    <w:rsid w:val="0097448E"/>
    <w:rsid w:val="00976726"/>
    <w:rsid w:val="00977C7B"/>
    <w:rsid w:val="009A01F2"/>
    <w:rsid w:val="009A156A"/>
    <w:rsid w:val="009B153F"/>
    <w:rsid w:val="009B1E89"/>
    <w:rsid w:val="009B3D95"/>
    <w:rsid w:val="009B5F87"/>
    <w:rsid w:val="009B6308"/>
    <w:rsid w:val="009B6810"/>
    <w:rsid w:val="009C457A"/>
    <w:rsid w:val="009D133A"/>
    <w:rsid w:val="009D32E2"/>
    <w:rsid w:val="009D3726"/>
    <w:rsid w:val="009F3FB1"/>
    <w:rsid w:val="00A01B5A"/>
    <w:rsid w:val="00A1798A"/>
    <w:rsid w:val="00A328B4"/>
    <w:rsid w:val="00A46CF8"/>
    <w:rsid w:val="00A5533D"/>
    <w:rsid w:val="00A61C80"/>
    <w:rsid w:val="00A66A3C"/>
    <w:rsid w:val="00A726B2"/>
    <w:rsid w:val="00A87643"/>
    <w:rsid w:val="00AA5C14"/>
    <w:rsid w:val="00AA6E51"/>
    <w:rsid w:val="00AF22C3"/>
    <w:rsid w:val="00AF49E4"/>
    <w:rsid w:val="00B000C9"/>
    <w:rsid w:val="00B04C82"/>
    <w:rsid w:val="00B0684F"/>
    <w:rsid w:val="00B31FD0"/>
    <w:rsid w:val="00B3306D"/>
    <w:rsid w:val="00B3562C"/>
    <w:rsid w:val="00B41FE8"/>
    <w:rsid w:val="00B6471F"/>
    <w:rsid w:val="00B65F13"/>
    <w:rsid w:val="00BA0D51"/>
    <w:rsid w:val="00BB2E0B"/>
    <w:rsid w:val="00BC0B61"/>
    <w:rsid w:val="00BC13F3"/>
    <w:rsid w:val="00BC6722"/>
    <w:rsid w:val="00BC6BFD"/>
    <w:rsid w:val="00BD1DBD"/>
    <w:rsid w:val="00BD3065"/>
    <w:rsid w:val="00BE193A"/>
    <w:rsid w:val="00BE28F3"/>
    <w:rsid w:val="00BE2D81"/>
    <w:rsid w:val="00BF174D"/>
    <w:rsid w:val="00BF4210"/>
    <w:rsid w:val="00BF4B88"/>
    <w:rsid w:val="00BF5704"/>
    <w:rsid w:val="00C171DE"/>
    <w:rsid w:val="00C26118"/>
    <w:rsid w:val="00C27C6F"/>
    <w:rsid w:val="00C3380D"/>
    <w:rsid w:val="00C34839"/>
    <w:rsid w:val="00C4281C"/>
    <w:rsid w:val="00C4566F"/>
    <w:rsid w:val="00C61EC9"/>
    <w:rsid w:val="00C62782"/>
    <w:rsid w:val="00C96AD2"/>
    <w:rsid w:val="00CB3926"/>
    <w:rsid w:val="00CB4906"/>
    <w:rsid w:val="00CC02B3"/>
    <w:rsid w:val="00CE7270"/>
    <w:rsid w:val="00D01D4E"/>
    <w:rsid w:val="00D02092"/>
    <w:rsid w:val="00D04F5C"/>
    <w:rsid w:val="00D13EAA"/>
    <w:rsid w:val="00D2479F"/>
    <w:rsid w:val="00D25D6A"/>
    <w:rsid w:val="00D35A2F"/>
    <w:rsid w:val="00D5300C"/>
    <w:rsid w:val="00D71E40"/>
    <w:rsid w:val="00D74C1D"/>
    <w:rsid w:val="00D82AD5"/>
    <w:rsid w:val="00D82BB7"/>
    <w:rsid w:val="00D8306B"/>
    <w:rsid w:val="00D83575"/>
    <w:rsid w:val="00D87C0B"/>
    <w:rsid w:val="00D94DFF"/>
    <w:rsid w:val="00DB0413"/>
    <w:rsid w:val="00DC5F85"/>
    <w:rsid w:val="00DD1AA4"/>
    <w:rsid w:val="00DD73C4"/>
    <w:rsid w:val="00DE2793"/>
    <w:rsid w:val="00DF0168"/>
    <w:rsid w:val="00DF73DE"/>
    <w:rsid w:val="00E02767"/>
    <w:rsid w:val="00E11606"/>
    <w:rsid w:val="00E1404F"/>
    <w:rsid w:val="00E15F30"/>
    <w:rsid w:val="00E22DDC"/>
    <w:rsid w:val="00E42B9E"/>
    <w:rsid w:val="00E475C5"/>
    <w:rsid w:val="00E511EB"/>
    <w:rsid w:val="00E5343D"/>
    <w:rsid w:val="00E620C1"/>
    <w:rsid w:val="00E63075"/>
    <w:rsid w:val="00E7052E"/>
    <w:rsid w:val="00E70FD7"/>
    <w:rsid w:val="00E7243A"/>
    <w:rsid w:val="00E755F8"/>
    <w:rsid w:val="00E76F03"/>
    <w:rsid w:val="00E83EAD"/>
    <w:rsid w:val="00E86C0F"/>
    <w:rsid w:val="00E92EB6"/>
    <w:rsid w:val="00EA3750"/>
    <w:rsid w:val="00EB284F"/>
    <w:rsid w:val="00EC192E"/>
    <w:rsid w:val="00EC25D0"/>
    <w:rsid w:val="00EC2C01"/>
    <w:rsid w:val="00EC6FC2"/>
    <w:rsid w:val="00EE3FA7"/>
    <w:rsid w:val="00EE62F2"/>
    <w:rsid w:val="00EF63B5"/>
    <w:rsid w:val="00F04A5C"/>
    <w:rsid w:val="00F06F98"/>
    <w:rsid w:val="00F10D82"/>
    <w:rsid w:val="00F13BCE"/>
    <w:rsid w:val="00F227DB"/>
    <w:rsid w:val="00F270D8"/>
    <w:rsid w:val="00F27B33"/>
    <w:rsid w:val="00F41685"/>
    <w:rsid w:val="00F44095"/>
    <w:rsid w:val="00F52026"/>
    <w:rsid w:val="00F662A4"/>
    <w:rsid w:val="00F74900"/>
    <w:rsid w:val="00F924B8"/>
    <w:rsid w:val="00F97228"/>
    <w:rsid w:val="00FA72C2"/>
    <w:rsid w:val="00FC270F"/>
    <w:rsid w:val="00FC437C"/>
    <w:rsid w:val="00FC56E6"/>
    <w:rsid w:val="00FD16A8"/>
    <w:rsid w:val="00FD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E05B"/>
  <w15:docId w15:val="{8439ACA4-01ED-4E2E-97D4-FB51043E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98A"/>
    <w:pPr>
      <w:spacing w:after="0" w:line="264" w:lineRule="auto"/>
      <w:ind w:firstLine="284"/>
      <w:jc w:val="both"/>
    </w:pPr>
    <w:rPr>
      <w:rFonts w:eastAsia="Calibri"/>
      <w:sz w:val="22"/>
      <w:szCs w:val="22"/>
    </w:rPr>
  </w:style>
  <w:style w:type="paragraph" w:styleId="Heading1">
    <w:name w:val="heading 1"/>
    <w:basedOn w:val="Normal"/>
    <w:next w:val="Normal"/>
    <w:link w:val="Heading1Char"/>
    <w:autoRedefine/>
    <w:qFormat/>
    <w:rsid w:val="009D32E2"/>
    <w:pPr>
      <w:keepNext/>
      <w:keepLines/>
      <w:spacing w:after="60" w:line="240" w:lineRule="auto"/>
      <w:ind w:firstLine="0"/>
      <w:jc w:val="center"/>
      <w:outlineLvl w:val="0"/>
    </w:pPr>
    <w:rPr>
      <w:rFonts w:eastAsiaTheme="majorEastAsia" w:cstheme="majorBidi"/>
      <w:b/>
      <w:szCs w:val="32"/>
      <w:lang w:val="vi"/>
    </w:rPr>
  </w:style>
  <w:style w:type="paragraph" w:styleId="Heading2">
    <w:name w:val="heading 2"/>
    <w:basedOn w:val="Normal"/>
    <w:next w:val="Normal"/>
    <w:link w:val="Heading2Char"/>
    <w:uiPriority w:val="9"/>
    <w:unhideWhenUsed/>
    <w:qFormat/>
    <w:rsid w:val="005D610A"/>
    <w:pPr>
      <w:keepNext/>
      <w:keepLines/>
      <w:ind w:firstLine="0"/>
      <w:outlineLvl w:val="1"/>
    </w:pPr>
    <w:rPr>
      <w:rFonts w:eastAsia="Arial" w:cs="Arial"/>
      <w:b/>
      <w:szCs w:val="32"/>
      <w:lang w:val="vi"/>
    </w:rPr>
  </w:style>
  <w:style w:type="paragraph" w:styleId="Heading3">
    <w:name w:val="heading 3"/>
    <w:basedOn w:val="Normal"/>
    <w:next w:val="Normal"/>
    <w:link w:val="Heading3Char"/>
    <w:autoRedefine/>
    <w:uiPriority w:val="9"/>
    <w:unhideWhenUsed/>
    <w:qFormat/>
    <w:rsid w:val="00A66A3C"/>
    <w:pPr>
      <w:keepNext/>
      <w:keepLines/>
      <w:ind w:firstLine="0"/>
      <w:outlineLvl w:val="2"/>
    </w:pPr>
    <w:rPr>
      <w:rFonts w:eastAsia="Arial" w:cs="Arial"/>
      <w:b/>
      <w:i/>
      <w:szCs w:val="28"/>
      <w:lang w:val="vi"/>
    </w:rPr>
  </w:style>
  <w:style w:type="paragraph" w:styleId="Heading4">
    <w:name w:val="heading 4"/>
    <w:basedOn w:val="Normal"/>
    <w:next w:val="Normal"/>
    <w:link w:val="Heading4Char"/>
    <w:autoRedefine/>
    <w:uiPriority w:val="9"/>
    <w:unhideWhenUsed/>
    <w:qFormat/>
    <w:rsid w:val="00F10D82"/>
    <w:pPr>
      <w:keepNext/>
      <w:keepLines/>
      <w:spacing w:line="312" w:lineRule="auto"/>
      <w:outlineLvl w:val="3"/>
    </w:pPr>
    <w:rPr>
      <w:rFonts w:eastAsiaTheme="majorEastAsia" w:cstheme="majorBidi"/>
      <w:i/>
      <w:i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2E2"/>
    <w:rPr>
      <w:rFonts w:eastAsiaTheme="majorEastAsia" w:cstheme="majorBidi"/>
      <w:b/>
      <w:sz w:val="22"/>
      <w:szCs w:val="32"/>
      <w:lang w:val="vi"/>
    </w:rPr>
  </w:style>
  <w:style w:type="character" w:customStyle="1" w:styleId="Heading2Char">
    <w:name w:val="Heading 2 Char"/>
    <w:basedOn w:val="DefaultParagraphFont"/>
    <w:link w:val="Heading2"/>
    <w:uiPriority w:val="9"/>
    <w:rsid w:val="005D610A"/>
    <w:rPr>
      <w:rFonts w:cs="Arial"/>
      <w:b/>
      <w:sz w:val="22"/>
      <w:szCs w:val="32"/>
      <w:lang w:val="vi"/>
    </w:rPr>
  </w:style>
  <w:style w:type="character" w:customStyle="1" w:styleId="Heading3Char">
    <w:name w:val="Heading 3 Char"/>
    <w:basedOn w:val="DefaultParagraphFont"/>
    <w:link w:val="Heading3"/>
    <w:uiPriority w:val="9"/>
    <w:rsid w:val="00A66A3C"/>
    <w:rPr>
      <w:rFonts w:cs="Arial"/>
      <w:b/>
      <w:i/>
      <w:sz w:val="22"/>
      <w:szCs w:val="28"/>
      <w:lang w:val="vi"/>
    </w:rPr>
  </w:style>
  <w:style w:type="character" w:customStyle="1" w:styleId="Heading4Char">
    <w:name w:val="Heading 4 Char"/>
    <w:basedOn w:val="DefaultParagraphFont"/>
    <w:link w:val="Heading4"/>
    <w:uiPriority w:val="9"/>
    <w:rsid w:val="00F10D82"/>
    <w:rPr>
      <w:rFonts w:eastAsiaTheme="majorEastAsia" w:cstheme="majorBidi"/>
      <w:i/>
      <w:iCs/>
      <w:sz w:val="20"/>
      <w:szCs w:val="22"/>
      <w:lang w:val="vi"/>
    </w:rPr>
  </w:style>
  <w:style w:type="paragraph" w:customStyle="1" w:styleId="TieuChuan">
    <w:name w:val="TieuChuan"/>
    <w:basedOn w:val="TableAUN"/>
    <w:link w:val="TieuChuanChar"/>
    <w:autoRedefine/>
    <w:qFormat/>
    <w:rsid w:val="00116BC1"/>
    <w:pPr>
      <w:spacing w:after="120"/>
      <w:outlineLvl w:val="0"/>
    </w:pPr>
    <w:rPr>
      <w:sz w:val="24"/>
    </w:rPr>
  </w:style>
  <w:style w:type="character" w:customStyle="1" w:styleId="TieuChuanChar">
    <w:name w:val="TieuChuan Char"/>
    <w:basedOn w:val="TableAUNChar"/>
    <w:link w:val="TieuChuan"/>
    <w:rsid w:val="00116BC1"/>
    <w:rPr>
      <w:b/>
      <w:iCs/>
      <w:color w:val="0D0D0D" w:themeColor="text1" w:themeTint="F2"/>
      <w:sz w:val="22"/>
      <w:szCs w:val="18"/>
    </w:rPr>
  </w:style>
  <w:style w:type="paragraph" w:customStyle="1" w:styleId="TableAUN">
    <w:name w:val="Table AUN"/>
    <w:basedOn w:val="Caption"/>
    <w:link w:val="TableAUNChar"/>
    <w:autoRedefine/>
    <w:qFormat/>
    <w:rsid w:val="00F52026"/>
    <w:pPr>
      <w:spacing w:after="0"/>
      <w:ind w:firstLine="0"/>
      <w:jc w:val="center"/>
    </w:pPr>
    <w:rPr>
      <w:b/>
      <w:i w:val="0"/>
      <w:color w:val="0D0D0D" w:themeColor="text1" w:themeTint="F2"/>
      <w:sz w:val="22"/>
    </w:rPr>
  </w:style>
  <w:style w:type="character" w:customStyle="1" w:styleId="TableAUNChar">
    <w:name w:val="Table AUN Char"/>
    <w:basedOn w:val="DefaultParagraphFont"/>
    <w:link w:val="TableAUN"/>
    <w:rsid w:val="00F52026"/>
    <w:rPr>
      <w:b/>
      <w:iCs/>
      <w:color w:val="0D0D0D" w:themeColor="text1" w:themeTint="F2"/>
      <w:sz w:val="22"/>
      <w:szCs w:val="18"/>
    </w:rPr>
  </w:style>
  <w:style w:type="paragraph" w:styleId="Caption">
    <w:name w:val="caption"/>
    <w:basedOn w:val="Normal"/>
    <w:next w:val="Normal"/>
    <w:uiPriority w:val="35"/>
    <w:semiHidden/>
    <w:unhideWhenUsed/>
    <w:qFormat/>
    <w:rsid w:val="008E3AB7"/>
    <w:pPr>
      <w:spacing w:after="200" w:line="312" w:lineRule="auto"/>
      <w:ind w:firstLine="720"/>
    </w:pPr>
    <w:rPr>
      <w:rFonts w:eastAsia="Arial" w:cs="Arial"/>
      <w:i/>
      <w:iCs/>
      <w:color w:val="44546A" w:themeColor="text2"/>
      <w:sz w:val="18"/>
      <w:szCs w:val="18"/>
      <w:lang w:val="vi"/>
    </w:rPr>
  </w:style>
  <w:style w:type="paragraph" w:customStyle="1" w:styleId="Tieuchi">
    <w:name w:val="Tieu chi"/>
    <w:basedOn w:val="Normal"/>
    <w:link w:val="TieuchiChar"/>
    <w:autoRedefine/>
    <w:qFormat/>
    <w:rsid w:val="00116BC1"/>
    <w:pPr>
      <w:spacing w:line="312" w:lineRule="auto"/>
      <w:ind w:firstLine="720"/>
      <w:outlineLvl w:val="1"/>
    </w:pPr>
    <w:rPr>
      <w:rFonts w:eastAsia="Arial" w:cs="Arial"/>
      <w:b/>
      <w:bCs/>
      <w:i/>
      <w:iCs/>
      <w:color w:val="000000"/>
      <w:sz w:val="24"/>
      <w:lang w:val="vi"/>
    </w:rPr>
  </w:style>
  <w:style w:type="character" w:customStyle="1" w:styleId="TieuchiChar">
    <w:name w:val="Tieu chi Char"/>
    <w:basedOn w:val="DefaultParagraphFont"/>
    <w:link w:val="Tieuchi"/>
    <w:rsid w:val="00116BC1"/>
    <w:rPr>
      <w:b/>
      <w:bCs/>
      <w:i/>
      <w:iCs/>
      <w:color w:val="000000"/>
      <w:lang w:val="vi"/>
    </w:rPr>
  </w:style>
  <w:style w:type="paragraph" w:customStyle="1" w:styleId="Mc3chs">
    <w:name w:val="Mục 3 chữ số"/>
    <w:basedOn w:val="Normal"/>
    <w:link w:val="Mc3chsChar"/>
    <w:autoRedefine/>
    <w:qFormat/>
    <w:rsid w:val="003E6B9A"/>
    <w:pPr>
      <w:spacing w:line="312" w:lineRule="auto"/>
      <w:ind w:left="720"/>
    </w:pPr>
    <w:rPr>
      <w:rFonts w:eastAsia="Arial" w:cs="Arial"/>
      <w:b/>
      <w:bCs/>
      <w:i/>
      <w:iCs/>
      <w:sz w:val="24"/>
      <w:lang w:val="vi"/>
    </w:rPr>
  </w:style>
  <w:style w:type="character" w:customStyle="1" w:styleId="Mc3chsChar">
    <w:name w:val="Mục 3 chữ số Char"/>
    <w:basedOn w:val="DefaultParagraphFont"/>
    <w:link w:val="Mc3chs"/>
    <w:rsid w:val="003E6B9A"/>
    <w:rPr>
      <w:b/>
      <w:bCs/>
      <w:i/>
      <w:iCs/>
    </w:rPr>
  </w:style>
  <w:style w:type="paragraph" w:customStyle="1" w:styleId="table">
    <w:name w:val="table"/>
    <w:basedOn w:val="Normal"/>
    <w:link w:val="tableChar"/>
    <w:autoRedefine/>
    <w:qFormat/>
    <w:rsid w:val="002E6B9E"/>
    <w:pPr>
      <w:autoSpaceDE w:val="0"/>
      <w:autoSpaceDN w:val="0"/>
      <w:adjustRightInd w:val="0"/>
      <w:jc w:val="center"/>
    </w:pPr>
    <w:rPr>
      <w:rFonts w:eastAsia="Arial" w:cs="Arial"/>
      <w:sz w:val="24"/>
      <w:lang w:val="vi"/>
    </w:rPr>
  </w:style>
  <w:style w:type="character" w:customStyle="1" w:styleId="tableChar">
    <w:name w:val="table Char"/>
    <w:basedOn w:val="DefaultParagraphFont"/>
    <w:link w:val="table"/>
    <w:rsid w:val="002E6B9E"/>
    <w:rPr>
      <w:rFonts w:cstheme="minorBidi"/>
      <w:kern w:val="2"/>
      <w:sz w:val="22"/>
      <w:szCs w:val="22"/>
      <w14:ligatures w14:val="standardContextual"/>
    </w:rPr>
  </w:style>
  <w:style w:type="paragraph" w:customStyle="1" w:styleId="Table0">
    <w:name w:val="Table"/>
    <w:basedOn w:val="Normal"/>
    <w:link w:val="TableChar0"/>
    <w:autoRedefine/>
    <w:qFormat/>
    <w:rsid w:val="00AF22C3"/>
    <w:pPr>
      <w:tabs>
        <w:tab w:val="left" w:pos="993"/>
        <w:tab w:val="left" w:pos="1276"/>
      </w:tabs>
      <w:spacing w:before="60" w:after="60"/>
      <w:jc w:val="center"/>
    </w:pPr>
    <w:rPr>
      <w:rFonts w:eastAsia="Arial" w:cs="Arial"/>
      <w:bCs/>
      <w:color w:val="000000"/>
      <w:sz w:val="24"/>
      <w:lang w:val="vi"/>
    </w:rPr>
  </w:style>
  <w:style w:type="character" w:customStyle="1" w:styleId="TableChar0">
    <w:name w:val="Table Char"/>
    <w:basedOn w:val="DefaultParagraphFont"/>
    <w:link w:val="Table0"/>
    <w:rsid w:val="00AF22C3"/>
    <w:rPr>
      <w:rFonts w:cs="Arial"/>
      <w:bCs/>
      <w:color w:val="000000"/>
      <w:szCs w:val="22"/>
      <w:lang w:val="vi"/>
    </w:rPr>
  </w:style>
  <w:style w:type="character" w:styleId="PageNumber">
    <w:name w:val="page number"/>
    <w:rsid w:val="002D62A0"/>
  </w:style>
  <w:style w:type="character" w:customStyle="1" w:styleId="HeaderChar">
    <w:name w:val="Header Char"/>
    <w:link w:val="Header"/>
    <w:uiPriority w:val="99"/>
    <w:rsid w:val="002D62A0"/>
    <w:rPr>
      <w:rFonts w:ascii=".VnTime" w:eastAsia="Times New Roman" w:hAnsi=".VnTime"/>
      <w:sz w:val="28"/>
    </w:rPr>
  </w:style>
  <w:style w:type="character" w:customStyle="1" w:styleId="FooterChar">
    <w:name w:val="Footer Char"/>
    <w:link w:val="Footer"/>
    <w:uiPriority w:val="99"/>
    <w:rsid w:val="002D62A0"/>
    <w:rPr>
      <w:rFonts w:ascii=".VnTime" w:eastAsia="Times New Roman" w:hAnsi=".VnTime"/>
      <w:sz w:val="28"/>
    </w:rPr>
  </w:style>
  <w:style w:type="paragraph" w:styleId="Footer">
    <w:name w:val="footer"/>
    <w:basedOn w:val="Normal"/>
    <w:link w:val="FooterChar"/>
    <w:uiPriority w:val="99"/>
    <w:rsid w:val="002D62A0"/>
    <w:pPr>
      <w:tabs>
        <w:tab w:val="center" w:pos="4320"/>
        <w:tab w:val="right" w:pos="8640"/>
      </w:tabs>
    </w:pPr>
    <w:rPr>
      <w:rFonts w:ascii=".VnTime" w:eastAsia="Times New Roman" w:hAnsi=".VnTime"/>
      <w:szCs w:val="24"/>
    </w:rPr>
  </w:style>
  <w:style w:type="character" w:customStyle="1" w:styleId="FooterChar1">
    <w:name w:val="Footer Char1"/>
    <w:basedOn w:val="DefaultParagraphFont"/>
    <w:uiPriority w:val="99"/>
    <w:semiHidden/>
    <w:rsid w:val="002D62A0"/>
    <w:rPr>
      <w:rFonts w:eastAsia="Calibri"/>
      <w:sz w:val="28"/>
      <w:szCs w:val="22"/>
    </w:rPr>
  </w:style>
  <w:style w:type="paragraph" w:styleId="Header">
    <w:name w:val="header"/>
    <w:basedOn w:val="Normal"/>
    <w:link w:val="HeaderChar"/>
    <w:uiPriority w:val="99"/>
    <w:rsid w:val="002D62A0"/>
    <w:pPr>
      <w:tabs>
        <w:tab w:val="center" w:pos="4153"/>
        <w:tab w:val="right" w:pos="8306"/>
      </w:tabs>
    </w:pPr>
    <w:rPr>
      <w:rFonts w:ascii=".VnTime" w:eastAsia="Times New Roman" w:hAnsi=".VnTime"/>
      <w:szCs w:val="24"/>
    </w:rPr>
  </w:style>
  <w:style w:type="character" w:customStyle="1" w:styleId="HeaderChar1">
    <w:name w:val="Header Char1"/>
    <w:basedOn w:val="DefaultParagraphFont"/>
    <w:uiPriority w:val="99"/>
    <w:semiHidden/>
    <w:rsid w:val="002D62A0"/>
    <w:rPr>
      <w:rFonts w:eastAsia="Calibri"/>
      <w:sz w:val="28"/>
      <w:szCs w:val="22"/>
    </w:rPr>
  </w:style>
  <w:style w:type="table" w:styleId="TableGrid">
    <w:name w:val="Table Grid"/>
    <w:basedOn w:val="TableNormal"/>
    <w:uiPriority w:val="39"/>
    <w:rsid w:val="0067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173"/>
    <w:pPr>
      <w:ind w:left="720"/>
      <w:contextualSpacing/>
    </w:pPr>
  </w:style>
  <w:style w:type="paragraph" w:styleId="IntenseQuote">
    <w:name w:val="Intense Quote"/>
    <w:basedOn w:val="Normal"/>
    <w:next w:val="Normal"/>
    <w:link w:val="IntenseQuoteChar"/>
    <w:uiPriority w:val="30"/>
    <w:qFormat/>
    <w:rsid w:val="00C171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171DE"/>
    <w:rPr>
      <w:rFonts w:eastAsia="Calibri"/>
      <w:i/>
      <w:iCs/>
      <w:color w:val="4472C4" w:themeColor="accent1"/>
      <w:sz w:val="28"/>
      <w:szCs w:val="22"/>
    </w:rPr>
  </w:style>
  <w:style w:type="paragraph" w:styleId="NoSpacing">
    <w:name w:val="No Spacing"/>
    <w:uiPriority w:val="1"/>
    <w:qFormat/>
    <w:rsid w:val="00F10D82"/>
    <w:pPr>
      <w:spacing w:after="0" w:line="240" w:lineRule="auto"/>
      <w:ind w:firstLine="567"/>
      <w:jc w:val="both"/>
    </w:pPr>
    <w:rPr>
      <w:rFonts w:eastAsia="Calibri"/>
      <w:sz w:val="20"/>
      <w:szCs w:val="22"/>
    </w:rPr>
  </w:style>
  <w:style w:type="table" w:customStyle="1" w:styleId="GridTable1Light1">
    <w:name w:val="Grid Table 1 Light1"/>
    <w:basedOn w:val="TableNormal"/>
    <w:uiPriority w:val="46"/>
    <w:rsid w:val="00B3562C"/>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9228E9"/>
    <w:pPr>
      <w:spacing w:after="0" w:line="240" w:lineRule="auto"/>
    </w:pPr>
    <w:rPr>
      <w:rFonts w:eastAsia="Calibri"/>
      <w:sz w:val="22"/>
      <w:szCs w:val="22"/>
    </w:rPr>
  </w:style>
  <w:style w:type="paragraph" w:customStyle="1" w:styleId="11">
    <w:name w:val="11"/>
    <w:basedOn w:val="Normal"/>
    <w:qFormat/>
    <w:rsid w:val="006E6196"/>
    <w:pPr>
      <w:tabs>
        <w:tab w:val="left" w:pos="993"/>
        <w:tab w:val="num" w:pos="1440"/>
      </w:tabs>
      <w:spacing w:line="312" w:lineRule="auto"/>
      <w:ind w:firstLine="0"/>
      <w:jc w:val="center"/>
    </w:pPr>
    <w:rPr>
      <w:rFonts w:eastAsia="Times New Roman"/>
      <w:b/>
      <w:i/>
      <w:sz w:val="26"/>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EA94B-F767-482E-8929-67FC028C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6434</Words>
  <Characters>36675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10</cp:lastModifiedBy>
  <cp:revision>2</cp:revision>
  <cp:lastPrinted>2026-03-05T00:42:00Z</cp:lastPrinted>
  <dcterms:created xsi:type="dcterms:W3CDTF">2026-03-05T01:40:00Z</dcterms:created>
  <dcterms:modified xsi:type="dcterms:W3CDTF">2026-03-05T01:40:00Z</dcterms:modified>
</cp:coreProperties>
</file>